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A0" w:rsidRPr="00365652" w:rsidRDefault="00235F76" w:rsidP="004626A0">
      <w:pPr>
        <w:tabs>
          <w:tab w:val="left" w:pos="5413"/>
        </w:tabs>
        <w:jc w:val="center"/>
        <w:rPr>
          <w:rFonts w:cs="Times New Roman"/>
          <w:b/>
          <w:sz w:val="28"/>
          <w:szCs w:val="28"/>
        </w:rPr>
      </w:pPr>
      <w:bookmarkStart w:id="0" w:name="_GoBack"/>
      <w:bookmarkEnd w:id="0"/>
      <w:r w:rsidRPr="00365652">
        <w:rPr>
          <w:rFonts w:cs="Times New Roman"/>
          <w:b/>
          <w:sz w:val="28"/>
          <w:szCs w:val="28"/>
        </w:rPr>
        <w:t xml:space="preserve">Final </w:t>
      </w:r>
      <w:r w:rsidR="004626A0" w:rsidRPr="00365652">
        <w:rPr>
          <w:rFonts w:cs="Times New Roman"/>
          <w:b/>
          <w:sz w:val="28"/>
          <w:szCs w:val="28"/>
        </w:rPr>
        <w:t xml:space="preserve">Project </w:t>
      </w:r>
      <w:r w:rsidRPr="00365652">
        <w:rPr>
          <w:rFonts w:cs="Times New Roman"/>
          <w:b/>
          <w:sz w:val="28"/>
          <w:szCs w:val="28"/>
        </w:rPr>
        <w:t>Report</w:t>
      </w:r>
    </w:p>
    <w:p w:rsidR="009A5422" w:rsidRPr="00365652" w:rsidRDefault="005F4EAE" w:rsidP="00365652">
      <w:pPr>
        <w:tabs>
          <w:tab w:val="left" w:pos="5413"/>
        </w:tabs>
        <w:jc w:val="center"/>
        <w:rPr>
          <w:rFonts w:cs="Times New Roman"/>
          <w:b/>
          <w:sz w:val="28"/>
          <w:szCs w:val="28"/>
        </w:rPr>
      </w:pPr>
      <w:r w:rsidRPr="00365652">
        <w:rPr>
          <w:rFonts w:cs="Times New Roman"/>
          <w:b/>
          <w:sz w:val="28"/>
          <w:szCs w:val="28"/>
        </w:rPr>
        <w:t>UNDP- GEF Project</w:t>
      </w:r>
      <w:r w:rsidR="00365652">
        <w:rPr>
          <w:rFonts w:cs="Times New Roman"/>
          <w:b/>
          <w:sz w:val="28"/>
          <w:szCs w:val="28"/>
        </w:rPr>
        <w:t xml:space="preserve"> </w:t>
      </w:r>
      <w:r w:rsidR="00CF2BBB" w:rsidRPr="00365652">
        <w:rPr>
          <w:rFonts w:cs="Times New Roman"/>
          <w:b/>
          <w:sz w:val="28"/>
          <w:szCs w:val="28"/>
        </w:rPr>
        <w:t>‘</w:t>
      </w:r>
      <w:r w:rsidR="009A5422" w:rsidRPr="00365652">
        <w:rPr>
          <w:rFonts w:cs="Times New Roman"/>
          <w:b/>
          <w:sz w:val="28"/>
          <w:szCs w:val="28"/>
        </w:rPr>
        <w:t>Improving the Financial Sustainability of the Carpathian System of Protected Areas</w:t>
      </w:r>
      <w:r w:rsidR="00CF2BBB" w:rsidRPr="00365652">
        <w:rPr>
          <w:rFonts w:cs="Times New Roman"/>
          <w:b/>
          <w:sz w:val="28"/>
          <w:szCs w:val="28"/>
        </w:rPr>
        <w:t>’</w:t>
      </w:r>
    </w:p>
    <w:p w:rsidR="003959FA" w:rsidRPr="00365652" w:rsidRDefault="003959FA" w:rsidP="009A5422">
      <w:pPr>
        <w:jc w:val="center"/>
        <w:rPr>
          <w:rFonts w:cs="Times New Roman"/>
          <w:b/>
          <w:sz w:val="28"/>
          <w:szCs w:val="28"/>
        </w:rPr>
      </w:pPr>
    </w:p>
    <w:p w:rsidR="007C4249" w:rsidRPr="001763AE" w:rsidRDefault="007C4249" w:rsidP="009A5422">
      <w:pPr>
        <w:jc w:val="center"/>
        <w:rPr>
          <w:rFonts w:cs="Times New Roman"/>
          <w:b/>
          <w:sz w:val="32"/>
          <w:szCs w:val="32"/>
        </w:rPr>
      </w:pPr>
    </w:p>
    <w:p w:rsidR="00172946" w:rsidRPr="001763AE" w:rsidRDefault="00172946" w:rsidP="00172946">
      <w:pPr>
        <w:pStyle w:val="Heading2"/>
        <w:numPr>
          <w:ilvl w:val="0"/>
          <w:numId w:val="0"/>
        </w:numPr>
      </w:pPr>
      <w:bookmarkStart w:id="1" w:name="_Toc396725194"/>
      <w:r w:rsidRPr="001763AE">
        <w:t>Project summary and description</w:t>
      </w:r>
      <w:bookmarkEnd w:id="1"/>
    </w:p>
    <w:p w:rsidR="00172946" w:rsidRPr="001763AE" w:rsidRDefault="00172946" w:rsidP="00235F76">
      <w:pPr>
        <w:pStyle w:val="NumberedPara"/>
        <w:numPr>
          <w:ilvl w:val="0"/>
          <w:numId w:val="0"/>
        </w:numPr>
      </w:pPr>
      <w:r w:rsidRPr="001763AE">
        <w:t>This UNDP</w:t>
      </w:r>
      <w:r w:rsidR="0076681A" w:rsidRPr="001763AE">
        <w:t>-supported, GEF-</w:t>
      </w:r>
      <w:r w:rsidRPr="001763AE">
        <w:t xml:space="preserve">funded medium sized project was </w:t>
      </w:r>
      <w:r w:rsidR="00BC4D50" w:rsidRPr="001763AE">
        <w:t>imp</w:t>
      </w:r>
      <w:r w:rsidRPr="001763AE">
        <w:t>lem</w:t>
      </w:r>
      <w:r w:rsidR="00BC4D50" w:rsidRPr="001763AE">
        <w:t>e</w:t>
      </w:r>
      <w:r w:rsidRPr="001763AE">
        <w:t>nted between November 2009 and June 2014</w:t>
      </w:r>
      <w:r w:rsidR="0076681A" w:rsidRPr="001763AE">
        <w:t>,</w:t>
      </w:r>
      <w:r w:rsidRPr="001763AE">
        <w:t xml:space="preserve"> with the objective of securing the financial sustainability of </w:t>
      </w:r>
      <w:r w:rsidR="0076681A" w:rsidRPr="001763AE">
        <w:t xml:space="preserve">protected areas in the Romanian </w:t>
      </w:r>
      <w:r w:rsidRPr="001763AE">
        <w:t>Carpathian</w:t>
      </w:r>
      <w:r w:rsidR="0076681A" w:rsidRPr="001763AE">
        <w:t>s as a model for replication in</w:t>
      </w:r>
      <w:r w:rsidRPr="001763AE">
        <w:t xml:space="preserve"> the entire Carpathian Network of Protected Areas. </w:t>
      </w:r>
      <w:r w:rsidR="00BC4D50" w:rsidRPr="001763AE">
        <w:t xml:space="preserve">The Carpathians are one of the most important regions in Europe for biodiversity, characterised by extensive areas of </w:t>
      </w:r>
      <w:r w:rsidR="00317D45" w:rsidRPr="001763AE">
        <w:t xml:space="preserve">high nature conservation value </w:t>
      </w:r>
      <w:r w:rsidR="0076681A" w:rsidRPr="001763AE">
        <w:t xml:space="preserve">forest </w:t>
      </w:r>
      <w:r w:rsidR="00317D45" w:rsidRPr="001763AE">
        <w:t xml:space="preserve">and </w:t>
      </w:r>
      <w:r w:rsidR="00BC4D50" w:rsidRPr="001763AE">
        <w:t xml:space="preserve">associated </w:t>
      </w:r>
      <w:r w:rsidR="00317D45" w:rsidRPr="001763AE">
        <w:t xml:space="preserve">ecosystems, high botanical diversity, a near complete assemblage of characteristic European fauna and unique human cultures and cultural landscapes. </w:t>
      </w:r>
      <w:r w:rsidRPr="001763AE">
        <w:t xml:space="preserve">The underlying logic </w:t>
      </w:r>
      <w:r w:rsidR="00317D45" w:rsidRPr="001763AE">
        <w:t xml:space="preserve">of the project </w:t>
      </w:r>
      <w:r w:rsidRPr="001763AE">
        <w:t xml:space="preserve">was that, with adequate financial resources, the Romanian Carpathian protected areas and </w:t>
      </w:r>
      <w:r w:rsidR="0076681A" w:rsidRPr="001763AE">
        <w:t>the wider region</w:t>
      </w:r>
      <w:r w:rsidRPr="001763AE">
        <w:t xml:space="preserve"> </w:t>
      </w:r>
      <w:r w:rsidR="0076681A" w:rsidRPr="001763AE">
        <w:t xml:space="preserve">would </w:t>
      </w:r>
      <w:r w:rsidRPr="001763AE">
        <w:t xml:space="preserve">be on </w:t>
      </w:r>
      <w:r w:rsidR="00D05862">
        <w:t xml:space="preserve">the </w:t>
      </w:r>
      <w:r w:rsidRPr="001763AE">
        <w:t>path to greater financial sustainability</w:t>
      </w:r>
      <w:r w:rsidR="00317D45" w:rsidRPr="001763AE">
        <w:t xml:space="preserve"> and therefore would be able to secure long-term conservation of the region</w:t>
      </w:r>
      <w:r w:rsidRPr="001763AE">
        <w:t xml:space="preserve">. </w:t>
      </w:r>
      <w:r w:rsidR="00217E75" w:rsidRPr="001763AE">
        <w:fldChar w:fldCharType="begin"/>
      </w:r>
      <w:r w:rsidRPr="001763AE">
        <w:instrText xml:space="preserve"> REF _Ref392060259 \h </w:instrText>
      </w:r>
      <w:r w:rsidR="00217E75" w:rsidRPr="001763AE">
        <w:fldChar w:fldCharType="separate"/>
      </w:r>
      <w:r w:rsidR="00D406FE" w:rsidRPr="001763AE">
        <w:t xml:space="preserve">Table </w:t>
      </w:r>
      <w:r w:rsidR="00D406FE">
        <w:rPr>
          <w:noProof/>
        </w:rPr>
        <w:t>1</w:t>
      </w:r>
      <w:r w:rsidR="00217E75" w:rsidRPr="001763AE">
        <w:fldChar w:fldCharType="end"/>
      </w:r>
      <w:r w:rsidRPr="001763AE">
        <w:t xml:space="preserve"> </w:t>
      </w:r>
      <w:r w:rsidR="000F74D9" w:rsidRPr="001763AE">
        <w:t>summarises</w:t>
      </w:r>
      <w:r w:rsidRPr="001763AE">
        <w:t xml:space="preserve"> </w:t>
      </w:r>
      <w:r w:rsidR="00317D45" w:rsidRPr="001763AE">
        <w:t xml:space="preserve">basic data </w:t>
      </w:r>
      <w:r w:rsidRPr="001763AE">
        <w:t>pertaining to the project.</w:t>
      </w:r>
    </w:p>
    <w:p w:rsidR="004F3253" w:rsidRPr="001763AE" w:rsidRDefault="004F3253" w:rsidP="004F3253">
      <w:pPr>
        <w:pStyle w:val="Caption"/>
      </w:pPr>
      <w:bookmarkStart w:id="2" w:name="_Ref392060259"/>
      <w:r w:rsidRPr="001763AE">
        <w:t xml:space="preserve">Table </w:t>
      </w:r>
      <w:r w:rsidR="00C072C9">
        <w:fldChar w:fldCharType="begin"/>
      </w:r>
      <w:r w:rsidR="00C072C9">
        <w:instrText xml:space="preserve"> SEQ Table \* ARABIC </w:instrText>
      </w:r>
      <w:r w:rsidR="00C072C9">
        <w:fldChar w:fldCharType="separate"/>
      </w:r>
      <w:r w:rsidR="00D406FE">
        <w:rPr>
          <w:noProof/>
        </w:rPr>
        <w:t>1</w:t>
      </w:r>
      <w:r w:rsidR="00C072C9">
        <w:rPr>
          <w:noProof/>
        </w:rPr>
        <w:fldChar w:fldCharType="end"/>
      </w:r>
      <w:bookmarkEnd w:id="2"/>
      <w:r w:rsidRPr="001763AE">
        <w:t xml:space="preserve"> Project summary table</w:t>
      </w:r>
    </w:p>
    <w:tbl>
      <w:tblPr>
        <w:tblStyle w:val="PlainReport"/>
        <w:tblW w:w="4913" w:type="pct"/>
        <w:tblLayout w:type="fixed"/>
        <w:tblCellMar>
          <w:left w:w="85" w:type="dxa"/>
          <w:right w:w="85" w:type="dxa"/>
        </w:tblCellMar>
        <w:tblLook w:val="01E0" w:firstRow="1" w:lastRow="1" w:firstColumn="1" w:lastColumn="1" w:noHBand="0" w:noVBand="0"/>
      </w:tblPr>
      <w:tblGrid>
        <w:gridCol w:w="1927"/>
        <w:gridCol w:w="1844"/>
        <w:gridCol w:w="1793"/>
        <w:gridCol w:w="586"/>
        <w:gridCol w:w="1732"/>
        <w:gridCol w:w="1924"/>
      </w:tblGrid>
      <w:tr w:rsidR="00850153" w:rsidRPr="001763AE" w:rsidTr="00F21E64">
        <w:trPr>
          <w:cnfStyle w:val="100000000000" w:firstRow="1" w:lastRow="0" w:firstColumn="0" w:lastColumn="0" w:oddVBand="0" w:evenVBand="0" w:oddHBand="0" w:evenHBand="0" w:firstRowFirstColumn="0" w:firstRowLastColumn="0" w:lastRowFirstColumn="0" w:lastRowLastColumn="0"/>
          <w:trHeight w:val="553"/>
        </w:trPr>
        <w:tc>
          <w:tcPr>
            <w:tcW w:w="983" w:type="pct"/>
          </w:tcPr>
          <w:p w:rsidR="00850153" w:rsidRPr="001763AE" w:rsidRDefault="00850153" w:rsidP="00237781">
            <w:pPr>
              <w:rPr>
                <w:rFonts w:cs="Times New Roman"/>
                <w:color w:val="FFFFFF" w:themeColor="background1"/>
              </w:rPr>
            </w:pPr>
            <w:r w:rsidRPr="001763AE">
              <w:rPr>
                <w:rFonts w:cs="Times New Roman"/>
                <w:color w:val="FFFFFF" w:themeColor="background1"/>
              </w:rPr>
              <w:t>Project Title</w:t>
            </w:r>
          </w:p>
        </w:tc>
        <w:tc>
          <w:tcPr>
            <w:tcW w:w="4017" w:type="pct"/>
            <w:gridSpan w:val="5"/>
          </w:tcPr>
          <w:p w:rsidR="00850153" w:rsidRPr="001763AE" w:rsidRDefault="00850153" w:rsidP="00237781">
            <w:pPr>
              <w:rPr>
                <w:rFonts w:cs="Times New Roman"/>
                <w:color w:val="FFFFFF" w:themeColor="background1"/>
              </w:rPr>
            </w:pPr>
            <w:r w:rsidRPr="001763AE">
              <w:rPr>
                <w:rFonts w:cs="Times New Roman"/>
                <w:color w:val="FFFFFF" w:themeColor="background1"/>
              </w:rPr>
              <w:t>Improving the Financial Sustainability of the Carpathian System of Protected Areas in Romania</w:t>
            </w:r>
          </w:p>
        </w:tc>
      </w:tr>
      <w:tr w:rsidR="00850153" w:rsidRPr="001763AE" w:rsidTr="00F21E64">
        <w:trPr>
          <w:trHeight w:val="500"/>
        </w:trPr>
        <w:tc>
          <w:tcPr>
            <w:tcW w:w="983" w:type="pct"/>
          </w:tcPr>
          <w:p w:rsidR="00850153" w:rsidRPr="001763AE" w:rsidRDefault="00F21E64" w:rsidP="00850153">
            <w:pPr>
              <w:jc w:val="right"/>
              <w:rPr>
                <w:rFonts w:eastAsia="Arial Unicode MS" w:cs="Times New Roman"/>
                <w:b/>
                <w:color w:val="000000"/>
                <w:sz w:val="20"/>
                <w:szCs w:val="20"/>
              </w:rPr>
            </w:pPr>
            <w:r w:rsidRPr="001763AE">
              <w:rPr>
                <w:rFonts w:cs="Times New Roman"/>
                <w:b/>
                <w:color w:val="000000"/>
                <w:sz w:val="20"/>
                <w:szCs w:val="20"/>
              </w:rPr>
              <w:t>GEF Project ID</w:t>
            </w:r>
          </w:p>
        </w:tc>
        <w:tc>
          <w:tcPr>
            <w:tcW w:w="940" w:type="pct"/>
          </w:tcPr>
          <w:p w:rsidR="00850153" w:rsidRPr="001763AE" w:rsidRDefault="00850153" w:rsidP="00850153">
            <w:pPr>
              <w:tabs>
                <w:tab w:val="right" w:pos="0"/>
              </w:tabs>
              <w:rPr>
                <w:rFonts w:cs="Times New Roman"/>
                <w:sz w:val="20"/>
                <w:szCs w:val="20"/>
              </w:rPr>
            </w:pPr>
            <w:r w:rsidRPr="001763AE">
              <w:rPr>
                <w:rFonts w:cs="Times New Roman"/>
                <w:sz w:val="20"/>
                <w:szCs w:val="20"/>
              </w:rPr>
              <w:t>3849</w:t>
            </w:r>
          </w:p>
        </w:tc>
        <w:tc>
          <w:tcPr>
            <w:tcW w:w="914" w:type="pct"/>
          </w:tcPr>
          <w:p w:rsidR="00850153" w:rsidRPr="001763AE" w:rsidRDefault="000F74D9" w:rsidP="00850153">
            <w:pPr>
              <w:jc w:val="right"/>
              <w:rPr>
                <w:rFonts w:eastAsia="Arial Unicode MS" w:cs="Times New Roman"/>
                <w:b/>
                <w:sz w:val="20"/>
                <w:szCs w:val="20"/>
              </w:rPr>
            </w:pPr>
            <w:r w:rsidRPr="001763AE">
              <w:rPr>
                <w:rFonts w:cs="Times New Roman"/>
                <w:b/>
                <w:sz w:val="20"/>
                <w:szCs w:val="20"/>
              </w:rPr>
              <w:t>Financing</w:t>
            </w:r>
            <w:r w:rsidR="00850153" w:rsidRPr="001763AE">
              <w:rPr>
                <w:rFonts w:cs="Times New Roman"/>
                <w:b/>
                <w:sz w:val="20"/>
                <w:szCs w:val="20"/>
              </w:rPr>
              <w:t> </w:t>
            </w:r>
          </w:p>
        </w:tc>
        <w:tc>
          <w:tcPr>
            <w:tcW w:w="1182" w:type="pct"/>
            <w:gridSpan w:val="2"/>
          </w:tcPr>
          <w:p w:rsidR="00850153" w:rsidRPr="001763AE" w:rsidRDefault="00850153" w:rsidP="00850153">
            <w:pPr>
              <w:jc w:val="center"/>
              <w:rPr>
                <w:rFonts w:eastAsia="Arial Unicode MS" w:cs="Times New Roman"/>
                <w:i/>
                <w:color w:val="000000"/>
                <w:sz w:val="20"/>
                <w:szCs w:val="20"/>
                <w:u w:val="single"/>
              </w:rPr>
            </w:pPr>
            <w:r w:rsidRPr="001763AE">
              <w:rPr>
                <w:rFonts w:cs="Times New Roman"/>
                <w:i/>
                <w:color w:val="000000"/>
                <w:sz w:val="20"/>
                <w:szCs w:val="20"/>
                <w:u w:val="single"/>
              </w:rPr>
              <w:t>at endorsement (Million US$)</w:t>
            </w:r>
          </w:p>
        </w:tc>
        <w:tc>
          <w:tcPr>
            <w:tcW w:w="981" w:type="pct"/>
          </w:tcPr>
          <w:p w:rsidR="00850153" w:rsidRPr="001763AE" w:rsidRDefault="002B1EC2" w:rsidP="00850153">
            <w:pPr>
              <w:jc w:val="center"/>
              <w:rPr>
                <w:rFonts w:eastAsia="Arial Unicode MS" w:cs="Times New Roman"/>
                <w:i/>
                <w:color w:val="000000"/>
                <w:sz w:val="20"/>
                <w:szCs w:val="20"/>
                <w:u w:val="single"/>
              </w:rPr>
            </w:pPr>
            <w:r w:rsidRPr="001763AE">
              <w:rPr>
                <w:rFonts w:cs="Times New Roman"/>
                <w:i/>
                <w:color w:val="000000"/>
                <w:sz w:val="20"/>
                <w:szCs w:val="20"/>
                <w:u w:val="single"/>
              </w:rPr>
              <w:t xml:space="preserve">predicted </w:t>
            </w:r>
            <w:r w:rsidR="00850153" w:rsidRPr="001763AE">
              <w:rPr>
                <w:rFonts w:cs="Times New Roman"/>
                <w:i/>
                <w:color w:val="000000"/>
                <w:sz w:val="20"/>
                <w:szCs w:val="20"/>
                <w:u w:val="single"/>
              </w:rPr>
              <w:t>at completion (Million US$)</w:t>
            </w:r>
          </w:p>
        </w:tc>
      </w:tr>
      <w:tr w:rsidR="00850153" w:rsidRPr="001763AE" w:rsidTr="00F21E64">
        <w:trPr>
          <w:trHeight w:val="278"/>
        </w:trPr>
        <w:tc>
          <w:tcPr>
            <w:tcW w:w="983" w:type="pct"/>
          </w:tcPr>
          <w:p w:rsidR="00850153" w:rsidRPr="001763AE" w:rsidRDefault="00F21E64" w:rsidP="00F21E64">
            <w:pPr>
              <w:rPr>
                <w:rFonts w:eastAsia="Arial Unicode MS" w:cs="Times New Roman"/>
                <w:b/>
                <w:color w:val="000000"/>
                <w:sz w:val="20"/>
                <w:szCs w:val="20"/>
              </w:rPr>
            </w:pPr>
            <w:r w:rsidRPr="001763AE">
              <w:rPr>
                <w:rFonts w:cs="Times New Roman"/>
                <w:b/>
                <w:color w:val="000000"/>
                <w:sz w:val="20"/>
                <w:szCs w:val="20"/>
              </w:rPr>
              <w:t>UNDP Project ID</w:t>
            </w:r>
          </w:p>
        </w:tc>
        <w:tc>
          <w:tcPr>
            <w:tcW w:w="940" w:type="pct"/>
          </w:tcPr>
          <w:p w:rsidR="00850153" w:rsidRPr="001763AE" w:rsidRDefault="00850153" w:rsidP="00850153">
            <w:pPr>
              <w:tabs>
                <w:tab w:val="right" w:pos="0"/>
              </w:tabs>
              <w:rPr>
                <w:rFonts w:cs="Times New Roman"/>
                <w:sz w:val="20"/>
                <w:szCs w:val="20"/>
              </w:rPr>
            </w:pPr>
            <w:r w:rsidRPr="001763AE">
              <w:rPr>
                <w:rFonts w:cs="Times New Roman"/>
                <w:sz w:val="20"/>
                <w:szCs w:val="20"/>
              </w:rPr>
              <w:t>Atlas: 72323</w:t>
            </w:r>
          </w:p>
          <w:p w:rsidR="00850153" w:rsidRPr="001763AE" w:rsidRDefault="00BE4C65" w:rsidP="00850153">
            <w:pPr>
              <w:tabs>
                <w:tab w:val="right" w:pos="0"/>
              </w:tabs>
              <w:rPr>
                <w:rFonts w:cs="Times New Roman"/>
                <w:bCs/>
                <w:color w:val="000000"/>
                <w:sz w:val="20"/>
                <w:szCs w:val="20"/>
              </w:rPr>
            </w:pPr>
            <w:r w:rsidRPr="001763AE">
              <w:rPr>
                <w:rFonts w:cs="Times New Roman"/>
                <w:sz w:val="20"/>
                <w:szCs w:val="20"/>
              </w:rPr>
              <w:t>PIMS:</w:t>
            </w:r>
            <w:r>
              <w:rPr>
                <w:rFonts w:cs="Times New Roman"/>
                <w:sz w:val="20"/>
                <w:szCs w:val="20"/>
              </w:rPr>
              <w:t xml:space="preserve"> </w:t>
            </w:r>
            <w:r w:rsidRPr="001763AE">
              <w:rPr>
                <w:rFonts w:cs="Times New Roman"/>
                <w:sz w:val="20"/>
                <w:szCs w:val="20"/>
              </w:rPr>
              <w:t>3458</w:t>
            </w:r>
          </w:p>
        </w:tc>
        <w:tc>
          <w:tcPr>
            <w:tcW w:w="914" w:type="pct"/>
          </w:tcPr>
          <w:p w:rsidR="00850153" w:rsidRPr="001763AE" w:rsidRDefault="00850153" w:rsidP="00850153">
            <w:pPr>
              <w:jc w:val="right"/>
              <w:rPr>
                <w:rFonts w:eastAsia="Arial Unicode MS" w:cs="Times New Roman"/>
                <w:b/>
                <w:color w:val="000000"/>
                <w:sz w:val="20"/>
                <w:szCs w:val="20"/>
              </w:rPr>
            </w:pPr>
            <w:r w:rsidRPr="001763AE">
              <w:rPr>
                <w:rFonts w:cs="Times New Roman"/>
                <w:b/>
                <w:color w:val="000000"/>
                <w:sz w:val="20"/>
                <w:szCs w:val="20"/>
              </w:rPr>
              <w:t xml:space="preserve">GEF financing: </w:t>
            </w:r>
          </w:p>
        </w:tc>
        <w:tc>
          <w:tcPr>
            <w:tcW w:w="1182" w:type="pct"/>
            <w:gridSpan w:val="2"/>
          </w:tcPr>
          <w:p w:rsidR="00850153" w:rsidRPr="001763AE" w:rsidRDefault="008812C6" w:rsidP="00850153">
            <w:pPr>
              <w:rPr>
                <w:rFonts w:eastAsia="Arial Unicode MS" w:cs="Times New Roman"/>
                <w:sz w:val="20"/>
                <w:szCs w:val="20"/>
              </w:rPr>
            </w:pPr>
            <w:r w:rsidRPr="001763AE">
              <w:rPr>
                <w:rFonts w:cs="Times New Roman"/>
                <w:sz w:val="20"/>
                <w:szCs w:val="20"/>
              </w:rPr>
              <w:t>0</w:t>
            </w:r>
            <w:r w:rsidR="00F21E64" w:rsidRPr="001763AE">
              <w:rPr>
                <w:rFonts w:cs="Times New Roman"/>
                <w:sz w:val="20"/>
                <w:szCs w:val="20"/>
              </w:rPr>
              <w:t>.</w:t>
            </w:r>
            <w:r w:rsidRPr="001763AE">
              <w:rPr>
                <w:rFonts w:cs="Times New Roman"/>
                <w:sz w:val="20"/>
                <w:szCs w:val="20"/>
              </w:rPr>
              <w:t>95</w:t>
            </w:r>
          </w:p>
        </w:tc>
        <w:tc>
          <w:tcPr>
            <w:tcW w:w="981" w:type="pct"/>
          </w:tcPr>
          <w:p w:rsidR="00850153" w:rsidRPr="001763AE" w:rsidRDefault="008812C6" w:rsidP="002B1EC2">
            <w:pPr>
              <w:jc w:val="both"/>
              <w:rPr>
                <w:rFonts w:eastAsia="Arial Unicode MS" w:cs="Times New Roman"/>
                <w:sz w:val="20"/>
                <w:szCs w:val="20"/>
              </w:rPr>
            </w:pPr>
            <w:r w:rsidRPr="001763AE">
              <w:rPr>
                <w:rFonts w:cs="Times New Roman"/>
                <w:sz w:val="20"/>
                <w:szCs w:val="20"/>
              </w:rPr>
              <w:t>0</w:t>
            </w:r>
            <w:r w:rsidR="00F21E64" w:rsidRPr="001763AE">
              <w:rPr>
                <w:rFonts w:cs="Times New Roman"/>
                <w:sz w:val="20"/>
                <w:szCs w:val="20"/>
              </w:rPr>
              <w:t>.</w:t>
            </w:r>
            <w:r w:rsidRPr="001763AE">
              <w:rPr>
                <w:rFonts w:cs="Times New Roman"/>
                <w:sz w:val="20"/>
                <w:szCs w:val="20"/>
              </w:rPr>
              <w:t>95</w:t>
            </w:r>
            <w:r w:rsidR="002B1EC2" w:rsidRPr="001763AE">
              <w:rPr>
                <w:rFonts w:cs="Times New Roman"/>
                <w:sz w:val="20"/>
                <w:szCs w:val="20"/>
              </w:rPr>
              <w:t xml:space="preserve"> </w:t>
            </w:r>
          </w:p>
        </w:tc>
      </w:tr>
      <w:tr w:rsidR="00850153" w:rsidRPr="001763AE" w:rsidTr="00F21E64">
        <w:trPr>
          <w:trHeight w:val="269"/>
        </w:trPr>
        <w:tc>
          <w:tcPr>
            <w:tcW w:w="983" w:type="pct"/>
          </w:tcPr>
          <w:p w:rsidR="00850153" w:rsidRPr="001763AE" w:rsidRDefault="00F21E64" w:rsidP="00850153">
            <w:pPr>
              <w:jc w:val="right"/>
              <w:rPr>
                <w:rFonts w:cs="Times New Roman"/>
                <w:b/>
                <w:color w:val="000000"/>
                <w:sz w:val="20"/>
                <w:szCs w:val="20"/>
              </w:rPr>
            </w:pPr>
            <w:r w:rsidRPr="001763AE">
              <w:rPr>
                <w:rFonts w:cs="Times New Roman"/>
                <w:b/>
                <w:color w:val="000000"/>
                <w:sz w:val="20"/>
                <w:szCs w:val="20"/>
              </w:rPr>
              <w:t>Country</w:t>
            </w:r>
          </w:p>
        </w:tc>
        <w:tc>
          <w:tcPr>
            <w:tcW w:w="940" w:type="pct"/>
          </w:tcPr>
          <w:p w:rsidR="00850153" w:rsidRPr="001763AE" w:rsidRDefault="00850153" w:rsidP="00850153">
            <w:pPr>
              <w:tabs>
                <w:tab w:val="right" w:pos="0"/>
              </w:tabs>
              <w:rPr>
                <w:rFonts w:cs="Times New Roman"/>
                <w:color w:val="000000"/>
                <w:sz w:val="20"/>
                <w:szCs w:val="20"/>
              </w:rPr>
            </w:pPr>
            <w:r w:rsidRPr="001763AE">
              <w:rPr>
                <w:rFonts w:cs="Times New Roman"/>
                <w:sz w:val="20"/>
                <w:szCs w:val="20"/>
              </w:rPr>
              <w:t>Romania</w:t>
            </w:r>
          </w:p>
        </w:tc>
        <w:tc>
          <w:tcPr>
            <w:tcW w:w="914" w:type="pct"/>
          </w:tcPr>
          <w:p w:rsidR="00850153" w:rsidRPr="001763AE" w:rsidRDefault="00850153" w:rsidP="00850153">
            <w:pPr>
              <w:jc w:val="right"/>
              <w:rPr>
                <w:rFonts w:cs="Times New Roman"/>
                <w:b/>
                <w:color w:val="000000"/>
                <w:sz w:val="20"/>
                <w:szCs w:val="20"/>
              </w:rPr>
            </w:pPr>
            <w:r w:rsidRPr="001763AE">
              <w:rPr>
                <w:rFonts w:cs="Times New Roman"/>
                <w:b/>
                <w:bCs/>
                <w:sz w:val="20"/>
                <w:szCs w:val="20"/>
              </w:rPr>
              <w:t>IA/EA own:</w:t>
            </w:r>
          </w:p>
        </w:tc>
        <w:tc>
          <w:tcPr>
            <w:tcW w:w="1182" w:type="pct"/>
            <w:gridSpan w:val="2"/>
          </w:tcPr>
          <w:p w:rsidR="00850153" w:rsidRPr="001763AE" w:rsidRDefault="008812C6" w:rsidP="00850153">
            <w:pPr>
              <w:rPr>
                <w:rFonts w:eastAsia="Arial Unicode MS" w:cs="Times New Roman"/>
                <w:sz w:val="20"/>
                <w:szCs w:val="20"/>
              </w:rPr>
            </w:pPr>
            <w:r w:rsidRPr="001763AE">
              <w:rPr>
                <w:rFonts w:cs="Times New Roman"/>
                <w:sz w:val="20"/>
                <w:szCs w:val="20"/>
              </w:rPr>
              <w:t>0</w:t>
            </w:r>
            <w:r w:rsidR="00F21E64" w:rsidRPr="001763AE">
              <w:rPr>
                <w:rFonts w:cs="Times New Roman"/>
                <w:sz w:val="20"/>
                <w:szCs w:val="20"/>
              </w:rPr>
              <w:t>.</w:t>
            </w:r>
            <w:r w:rsidRPr="001763AE">
              <w:rPr>
                <w:rFonts w:cs="Times New Roman"/>
                <w:sz w:val="20"/>
                <w:szCs w:val="20"/>
              </w:rPr>
              <w:t>02</w:t>
            </w:r>
          </w:p>
        </w:tc>
        <w:tc>
          <w:tcPr>
            <w:tcW w:w="981" w:type="pct"/>
          </w:tcPr>
          <w:p w:rsidR="00850153" w:rsidRPr="001763AE" w:rsidRDefault="008812C6" w:rsidP="00850153">
            <w:pPr>
              <w:jc w:val="both"/>
              <w:rPr>
                <w:rFonts w:eastAsia="Arial Unicode MS" w:cs="Times New Roman"/>
                <w:sz w:val="20"/>
                <w:szCs w:val="20"/>
              </w:rPr>
            </w:pPr>
            <w:r w:rsidRPr="001763AE">
              <w:rPr>
                <w:rFonts w:cs="Times New Roman"/>
                <w:sz w:val="20"/>
                <w:szCs w:val="20"/>
              </w:rPr>
              <w:t>0</w:t>
            </w:r>
            <w:r w:rsidR="00F21E64" w:rsidRPr="001763AE">
              <w:rPr>
                <w:rFonts w:cs="Times New Roman"/>
                <w:sz w:val="20"/>
                <w:szCs w:val="20"/>
              </w:rPr>
              <w:t>.</w:t>
            </w:r>
            <w:r w:rsidR="002B1EC2" w:rsidRPr="001763AE">
              <w:rPr>
                <w:rFonts w:cs="Times New Roman"/>
                <w:sz w:val="20"/>
                <w:szCs w:val="20"/>
              </w:rPr>
              <w:t>0</w:t>
            </w:r>
            <w:r w:rsidR="00F21E64" w:rsidRPr="001763AE">
              <w:rPr>
                <w:rFonts w:cs="Times New Roman"/>
                <w:sz w:val="20"/>
                <w:szCs w:val="20"/>
              </w:rPr>
              <w:t>2</w:t>
            </w:r>
          </w:p>
        </w:tc>
      </w:tr>
      <w:tr w:rsidR="00850153" w:rsidRPr="001763AE" w:rsidTr="00F21E64">
        <w:trPr>
          <w:trHeight w:val="296"/>
        </w:trPr>
        <w:tc>
          <w:tcPr>
            <w:tcW w:w="983" w:type="pct"/>
          </w:tcPr>
          <w:p w:rsidR="00850153" w:rsidRPr="001763AE" w:rsidRDefault="00F21E64" w:rsidP="00850153">
            <w:pPr>
              <w:jc w:val="right"/>
              <w:rPr>
                <w:rFonts w:cs="Times New Roman"/>
                <w:b/>
                <w:color w:val="000000"/>
                <w:sz w:val="20"/>
                <w:szCs w:val="20"/>
              </w:rPr>
            </w:pPr>
            <w:r w:rsidRPr="001763AE">
              <w:rPr>
                <w:rFonts w:cs="Times New Roman"/>
                <w:b/>
                <w:color w:val="000000"/>
                <w:sz w:val="20"/>
                <w:szCs w:val="20"/>
              </w:rPr>
              <w:t>Region</w:t>
            </w:r>
          </w:p>
        </w:tc>
        <w:tc>
          <w:tcPr>
            <w:tcW w:w="940" w:type="pct"/>
          </w:tcPr>
          <w:p w:rsidR="00850153" w:rsidRPr="001763AE" w:rsidRDefault="00850153" w:rsidP="00850153">
            <w:pPr>
              <w:tabs>
                <w:tab w:val="right" w:pos="0"/>
              </w:tabs>
              <w:rPr>
                <w:rFonts w:cs="Times New Roman"/>
                <w:sz w:val="20"/>
                <w:szCs w:val="20"/>
              </w:rPr>
            </w:pPr>
            <w:r w:rsidRPr="001763AE">
              <w:rPr>
                <w:rFonts w:cs="Times New Roman"/>
                <w:sz w:val="20"/>
                <w:szCs w:val="20"/>
              </w:rPr>
              <w:t>Europe&amp; CIS</w:t>
            </w:r>
          </w:p>
        </w:tc>
        <w:tc>
          <w:tcPr>
            <w:tcW w:w="914" w:type="pct"/>
          </w:tcPr>
          <w:p w:rsidR="00850153" w:rsidRPr="001763AE" w:rsidRDefault="00850153" w:rsidP="00850153">
            <w:pPr>
              <w:jc w:val="right"/>
              <w:rPr>
                <w:rFonts w:cs="Times New Roman"/>
                <w:b/>
                <w:color w:val="000000"/>
                <w:sz w:val="20"/>
                <w:szCs w:val="20"/>
              </w:rPr>
            </w:pPr>
            <w:r w:rsidRPr="001763AE">
              <w:rPr>
                <w:rFonts w:cs="Times New Roman"/>
                <w:b/>
                <w:bCs/>
                <w:sz w:val="20"/>
                <w:szCs w:val="20"/>
              </w:rPr>
              <w:t>Government:</w:t>
            </w:r>
          </w:p>
        </w:tc>
        <w:tc>
          <w:tcPr>
            <w:tcW w:w="1182" w:type="pct"/>
            <w:gridSpan w:val="2"/>
          </w:tcPr>
          <w:p w:rsidR="008812C6" w:rsidRPr="001763AE" w:rsidRDefault="008812C6" w:rsidP="00850153">
            <w:pPr>
              <w:rPr>
                <w:rFonts w:cs="Times New Roman"/>
                <w:sz w:val="20"/>
                <w:szCs w:val="20"/>
              </w:rPr>
            </w:pPr>
            <w:r w:rsidRPr="001763AE">
              <w:rPr>
                <w:rFonts w:cs="Times New Roman"/>
                <w:sz w:val="20"/>
                <w:szCs w:val="20"/>
              </w:rPr>
              <w:t>4</w:t>
            </w:r>
            <w:r w:rsidR="006C3433" w:rsidRPr="001763AE">
              <w:rPr>
                <w:rFonts w:cs="Times New Roman"/>
                <w:sz w:val="20"/>
                <w:szCs w:val="20"/>
              </w:rPr>
              <w:t>.6</w:t>
            </w:r>
            <w:r w:rsidR="00F21E64" w:rsidRPr="001763AE">
              <w:rPr>
                <w:rFonts w:cs="Times New Roman"/>
                <w:sz w:val="20"/>
                <w:szCs w:val="20"/>
              </w:rPr>
              <w:t>5</w:t>
            </w:r>
          </w:p>
          <w:p w:rsidR="00850153" w:rsidRPr="001763AE" w:rsidRDefault="00F21E64" w:rsidP="00405B60">
            <w:pPr>
              <w:rPr>
                <w:rFonts w:eastAsia="Arial Unicode MS" w:cs="Times New Roman"/>
                <w:sz w:val="20"/>
                <w:szCs w:val="20"/>
              </w:rPr>
            </w:pPr>
            <w:r w:rsidRPr="001763AE">
              <w:rPr>
                <w:rFonts w:cs="Times New Roman"/>
                <w:sz w:val="20"/>
                <w:szCs w:val="20"/>
              </w:rPr>
              <w:t>(i</w:t>
            </w:r>
            <w:r w:rsidR="00405B60" w:rsidRPr="001763AE">
              <w:rPr>
                <w:rFonts w:cs="Times New Roman"/>
                <w:sz w:val="20"/>
                <w:szCs w:val="20"/>
              </w:rPr>
              <w:t>nc</w:t>
            </w:r>
            <w:r w:rsidR="007F7CED" w:rsidRPr="001763AE">
              <w:rPr>
                <w:rFonts w:cs="Times New Roman"/>
                <w:sz w:val="20"/>
                <w:szCs w:val="20"/>
              </w:rPr>
              <w:t>luding</w:t>
            </w:r>
            <w:r w:rsidR="008812C6" w:rsidRPr="001763AE">
              <w:rPr>
                <w:rFonts w:cs="Times New Roman"/>
                <w:sz w:val="20"/>
                <w:szCs w:val="20"/>
              </w:rPr>
              <w:t xml:space="preserve"> </w:t>
            </w:r>
            <w:r w:rsidR="008812C6" w:rsidRPr="001763AE">
              <w:rPr>
                <w:rFonts w:eastAsia="Arial Unicode MS" w:cs="Times New Roman"/>
                <w:sz w:val="20"/>
                <w:szCs w:val="20"/>
              </w:rPr>
              <w:t>1</w:t>
            </w:r>
            <w:r w:rsidR="007F7CED" w:rsidRPr="001763AE">
              <w:rPr>
                <w:rFonts w:eastAsia="Arial Unicode MS" w:cs="Times New Roman"/>
                <w:sz w:val="20"/>
                <w:szCs w:val="20"/>
              </w:rPr>
              <w:t>.</w:t>
            </w:r>
            <w:r w:rsidRPr="001763AE">
              <w:rPr>
                <w:rFonts w:eastAsia="Arial Unicode MS" w:cs="Times New Roman"/>
                <w:sz w:val="20"/>
                <w:szCs w:val="20"/>
              </w:rPr>
              <w:t>86</w:t>
            </w:r>
            <w:r w:rsidR="00850153" w:rsidRPr="001763AE">
              <w:rPr>
                <w:rFonts w:eastAsia="Arial Unicode MS" w:cs="Times New Roman"/>
                <w:sz w:val="20"/>
                <w:szCs w:val="20"/>
              </w:rPr>
              <w:t xml:space="preserve"> in kind)</w:t>
            </w:r>
          </w:p>
        </w:tc>
        <w:tc>
          <w:tcPr>
            <w:tcW w:w="981" w:type="pct"/>
          </w:tcPr>
          <w:p w:rsidR="00427F20" w:rsidRPr="001763AE" w:rsidRDefault="008812C6" w:rsidP="00850153">
            <w:pPr>
              <w:jc w:val="both"/>
              <w:rPr>
                <w:rFonts w:cs="Times New Roman"/>
                <w:sz w:val="20"/>
                <w:szCs w:val="20"/>
              </w:rPr>
            </w:pPr>
            <w:r w:rsidRPr="001763AE">
              <w:rPr>
                <w:rFonts w:cs="Times New Roman"/>
                <w:sz w:val="20"/>
                <w:szCs w:val="20"/>
              </w:rPr>
              <w:t>4</w:t>
            </w:r>
            <w:r w:rsidR="00F21E64" w:rsidRPr="001763AE">
              <w:rPr>
                <w:rFonts w:cs="Times New Roman"/>
                <w:sz w:val="20"/>
                <w:szCs w:val="20"/>
              </w:rPr>
              <w:t>.</w:t>
            </w:r>
            <w:r w:rsidR="002B1EC2" w:rsidRPr="001763AE">
              <w:rPr>
                <w:rFonts w:cs="Times New Roman"/>
                <w:sz w:val="20"/>
                <w:szCs w:val="20"/>
              </w:rPr>
              <w:t>75</w:t>
            </w:r>
          </w:p>
          <w:p w:rsidR="00850153" w:rsidRPr="001763AE" w:rsidRDefault="00CB4E37" w:rsidP="00850153">
            <w:pPr>
              <w:jc w:val="both"/>
              <w:rPr>
                <w:rFonts w:cs="Times New Roman"/>
                <w:sz w:val="20"/>
                <w:szCs w:val="20"/>
              </w:rPr>
            </w:pPr>
            <w:r>
              <w:rPr>
                <w:rFonts w:cs="Times New Roman"/>
                <w:sz w:val="20"/>
                <w:szCs w:val="20"/>
              </w:rPr>
              <w:t>(all</w:t>
            </w:r>
            <w:r w:rsidR="008812C6" w:rsidRPr="001763AE">
              <w:rPr>
                <w:rFonts w:cs="Times New Roman"/>
                <w:sz w:val="20"/>
                <w:szCs w:val="20"/>
              </w:rPr>
              <w:t xml:space="preserve"> </w:t>
            </w:r>
            <w:r w:rsidR="00850153" w:rsidRPr="001763AE">
              <w:rPr>
                <w:rFonts w:cs="Times New Roman"/>
                <w:sz w:val="20"/>
                <w:szCs w:val="20"/>
              </w:rPr>
              <w:t>in kind</w:t>
            </w:r>
            <w:r>
              <w:rPr>
                <w:rFonts w:cs="Times New Roman"/>
                <w:sz w:val="20"/>
                <w:szCs w:val="20"/>
              </w:rPr>
              <w:t>)</w:t>
            </w:r>
          </w:p>
        </w:tc>
      </w:tr>
      <w:tr w:rsidR="008812C6" w:rsidRPr="001763AE" w:rsidTr="00F21E64">
        <w:trPr>
          <w:trHeight w:val="314"/>
        </w:trPr>
        <w:tc>
          <w:tcPr>
            <w:tcW w:w="983" w:type="pct"/>
          </w:tcPr>
          <w:p w:rsidR="008812C6" w:rsidRPr="001763AE" w:rsidRDefault="00F21E64" w:rsidP="00850153">
            <w:pPr>
              <w:jc w:val="right"/>
              <w:rPr>
                <w:rFonts w:cs="Times New Roman"/>
                <w:b/>
                <w:color w:val="000000"/>
                <w:sz w:val="20"/>
                <w:szCs w:val="20"/>
              </w:rPr>
            </w:pPr>
            <w:r w:rsidRPr="001763AE">
              <w:rPr>
                <w:rFonts w:cs="Times New Roman"/>
                <w:b/>
                <w:color w:val="000000"/>
                <w:sz w:val="20"/>
                <w:szCs w:val="20"/>
              </w:rPr>
              <w:t>Focal Area</w:t>
            </w:r>
          </w:p>
        </w:tc>
        <w:tc>
          <w:tcPr>
            <w:tcW w:w="940" w:type="pct"/>
          </w:tcPr>
          <w:p w:rsidR="008812C6" w:rsidRPr="001763AE" w:rsidRDefault="008812C6" w:rsidP="00850153">
            <w:pPr>
              <w:tabs>
                <w:tab w:val="right" w:pos="0"/>
              </w:tabs>
              <w:rPr>
                <w:rFonts w:cs="Times New Roman"/>
                <w:sz w:val="20"/>
                <w:szCs w:val="20"/>
              </w:rPr>
            </w:pPr>
            <w:r w:rsidRPr="001763AE">
              <w:rPr>
                <w:rFonts w:cs="Times New Roman"/>
                <w:sz w:val="20"/>
                <w:szCs w:val="20"/>
              </w:rPr>
              <w:t>Biodiversity</w:t>
            </w:r>
          </w:p>
        </w:tc>
        <w:tc>
          <w:tcPr>
            <w:tcW w:w="914" w:type="pct"/>
          </w:tcPr>
          <w:p w:rsidR="008812C6" w:rsidRPr="001763AE" w:rsidRDefault="008812C6" w:rsidP="00850153">
            <w:pPr>
              <w:jc w:val="right"/>
              <w:rPr>
                <w:rFonts w:cs="Times New Roman"/>
                <w:b/>
                <w:color w:val="000000"/>
                <w:sz w:val="20"/>
                <w:szCs w:val="20"/>
              </w:rPr>
            </w:pPr>
            <w:r w:rsidRPr="001763AE">
              <w:rPr>
                <w:rFonts w:cs="Times New Roman"/>
                <w:b/>
                <w:bCs/>
                <w:sz w:val="20"/>
                <w:szCs w:val="20"/>
              </w:rPr>
              <w:t>Other (WWF):</w:t>
            </w:r>
          </w:p>
        </w:tc>
        <w:tc>
          <w:tcPr>
            <w:tcW w:w="1182" w:type="pct"/>
            <w:gridSpan w:val="2"/>
          </w:tcPr>
          <w:p w:rsidR="008812C6" w:rsidRPr="001763AE" w:rsidRDefault="008812C6" w:rsidP="008812C6">
            <w:pPr>
              <w:rPr>
                <w:rFonts w:cs="Times New Roman"/>
                <w:sz w:val="20"/>
                <w:szCs w:val="20"/>
              </w:rPr>
            </w:pPr>
            <w:r w:rsidRPr="001763AE">
              <w:rPr>
                <w:rFonts w:cs="Times New Roman"/>
                <w:sz w:val="20"/>
                <w:szCs w:val="20"/>
              </w:rPr>
              <w:t>0</w:t>
            </w:r>
            <w:r w:rsidR="00F21E64" w:rsidRPr="001763AE">
              <w:rPr>
                <w:rFonts w:cs="Times New Roman"/>
                <w:sz w:val="20"/>
                <w:szCs w:val="20"/>
              </w:rPr>
              <w:t>.05</w:t>
            </w:r>
            <w:r w:rsidR="007F7CED" w:rsidRPr="001763AE">
              <w:rPr>
                <w:rFonts w:cs="Times New Roman"/>
                <w:sz w:val="20"/>
                <w:szCs w:val="20"/>
              </w:rPr>
              <w:t xml:space="preserve"> in kind</w:t>
            </w:r>
          </w:p>
        </w:tc>
        <w:tc>
          <w:tcPr>
            <w:tcW w:w="981" w:type="pct"/>
          </w:tcPr>
          <w:p w:rsidR="007F7CED" w:rsidRPr="001763AE" w:rsidRDefault="008812C6" w:rsidP="008812C6">
            <w:pPr>
              <w:rPr>
                <w:rFonts w:cs="Times New Roman"/>
                <w:sz w:val="20"/>
                <w:szCs w:val="20"/>
              </w:rPr>
            </w:pPr>
            <w:r w:rsidRPr="001763AE">
              <w:rPr>
                <w:rFonts w:cs="Times New Roman"/>
                <w:sz w:val="20"/>
                <w:szCs w:val="20"/>
              </w:rPr>
              <w:t>0</w:t>
            </w:r>
            <w:r w:rsidR="00F21E64" w:rsidRPr="001763AE">
              <w:rPr>
                <w:rFonts w:cs="Times New Roman"/>
                <w:sz w:val="20"/>
                <w:szCs w:val="20"/>
              </w:rPr>
              <w:t>.</w:t>
            </w:r>
            <w:r w:rsidR="007F7CED" w:rsidRPr="001763AE">
              <w:rPr>
                <w:rFonts w:cs="Times New Roman"/>
                <w:sz w:val="20"/>
                <w:szCs w:val="20"/>
              </w:rPr>
              <w:t>10 in kind</w:t>
            </w:r>
          </w:p>
        </w:tc>
      </w:tr>
      <w:tr w:rsidR="008812C6" w:rsidRPr="001763AE" w:rsidTr="00F21E64">
        <w:trPr>
          <w:trHeight w:val="553"/>
        </w:trPr>
        <w:tc>
          <w:tcPr>
            <w:tcW w:w="983" w:type="pct"/>
          </w:tcPr>
          <w:p w:rsidR="008812C6" w:rsidRPr="001763AE" w:rsidRDefault="008812C6" w:rsidP="004F3253">
            <w:pPr>
              <w:rPr>
                <w:rFonts w:eastAsia="Arial Unicode MS" w:cs="Times New Roman"/>
                <w:b/>
                <w:color w:val="000000"/>
                <w:sz w:val="20"/>
                <w:szCs w:val="20"/>
              </w:rPr>
            </w:pPr>
            <w:r w:rsidRPr="001763AE">
              <w:rPr>
                <w:rFonts w:cs="Times New Roman"/>
                <w:b/>
                <w:color w:val="000000"/>
                <w:sz w:val="20"/>
                <w:szCs w:val="20"/>
              </w:rPr>
              <w:t xml:space="preserve">FA </w:t>
            </w:r>
            <w:r w:rsidR="004F3253" w:rsidRPr="001763AE">
              <w:rPr>
                <w:rFonts w:cs="Times New Roman"/>
                <w:b/>
                <w:color w:val="000000"/>
                <w:sz w:val="20"/>
                <w:szCs w:val="20"/>
              </w:rPr>
              <w:t>O</w:t>
            </w:r>
            <w:r w:rsidR="00F21E64" w:rsidRPr="001763AE">
              <w:rPr>
                <w:rFonts w:cs="Times New Roman"/>
                <w:b/>
                <w:color w:val="000000"/>
                <w:sz w:val="20"/>
                <w:szCs w:val="20"/>
              </w:rPr>
              <w:t xml:space="preserve">bjectives </w:t>
            </w:r>
            <w:r w:rsidR="004F3253" w:rsidRPr="001763AE">
              <w:rPr>
                <w:rFonts w:cs="Times New Roman"/>
                <w:b/>
                <w:color w:val="000000"/>
                <w:sz w:val="20"/>
                <w:szCs w:val="20"/>
              </w:rPr>
              <w:t>(</w:t>
            </w:r>
            <w:r w:rsidRPr="001763AE">
              <w:rPr>
                <w:rFonts w:cs="Times New Roman"/>
                <w:b/>
                <w:color w:val="000000"/>
                <w:sz w:val="20"/>
                <w:szCs w:val="20"/>
              </w:rPr>
              <w:t>OP/SP)</w:t>
            </w:r>
          </w:p>
        </w:tc>
        <w:tc>
          <w:tcPr>
            <w:tcW w:w="940" w:type="pct"/>
          </w:tcPr>
          <w:p w:rsidR="008812C6" w:rsidRPr="001763AE" w:rsidRDefault="008812C6" w:rsidP="00850153">
            <w:pPr>
              <w:tabs>
                <w:tab w:val="right" w:pos="0"/>
              </w:tabs>
              <w:rPr>
                <w:rFonts w:cs="Times New Roman"/>
                <w:sz w:val="20"/>
                <w:szCs w:val="20"/>
              </w:rPr>
            </w:pPr>
            <w:r w:rsidRPr="001763AE">
              <w:rPr>
                <w:rFonts w:cs="Times New Roman"/>
                <w:sz w:val="20"/>
                <w:szCs w:val="20"/>
              </w:rPr>
              <w:t>Biodiversity, Financial Sustainability</w:t>
            </w:r>
          </w:p>
        </w:tc>
        <w:tc>
          <w:tcPr>
            <w:tcW w:w="914" w:type="pct"/>
          </w:tcPr>
          <w:p w:rsidR="008812C6" w:rsidRPr="001763AE" w:rsidRDefault="008812C6" w:rsidP="00850153">
            <w:pPr>
              <w:jc w:val="right"/>
              <w:rPr>
                <w:rFonts w:cs="Times New Roman"/>
                <w:b/>
                <w:color w:val="000000"/>
                <w:sz w:val="20"/>
                <w:szCs w:val="20"/>
              </w:rPr>
            </w:pPr>
            <w:r w:rsidRPr="001763AE">
              <w:rPr>
                <w:rFonts w:cs="Times New Roman"/>
                <w:b/>
                <w:color w:val="000000"/>
                <w:sz w:val="20"/>
                <w:szCs w:val="20"/>
              </w:rPr>
              <w:t>Total co-financing:</w:t>
            </w:r>
          </w:p>
        </w:tc>
        <w:tc>
          <w:tcPr>
            <w:tcW w:w="1182" w:type="pct"/>
            <w:gridSpan w:val="2"/>
          </w:tcPr>
          <w:p w:rsidR="008812C6" w:rsidRPr="001763AE" w:rsidRDefault="008812C6" w:rsidP="00850153">
            <w:pPr>
              <w:rPr>
                <w:rFonts w:eastAsia="Arial Unicode MS" w:cs="Times New Roman"/>
                <w:sz w:val="20"/>
                <w:szCs w:val="20"/>
              </w:rPr>
            </w:pPr>
            <w:r w:rsidRPr="001763AE">
              <w:rPr>
                <w:rFonts w:eastAsia="Arial Unicode MS" w:cs="Times New Roman"/>
                <w:sz w:val="20"/>
                <w:szCs w:val="20"/>
              </w:rPr>
              <w:t>4</w:t>
            </w:r>
            <w:r w:rsidR="006C3433" w:rsidRPr="001763AE">
              <w:rPr>
                <w:rFonts w:eastAsia="Arial Unicode MS" w:cs="Times New Roman"/>
                <w:sz w:val="20"/>
                <w:szCs w:val="20"/>
              </w:rPr>
              <w:t>.7</w:t>
            </w:r>
            <w:r w:rsidR="00F21E64" w:rsidRPr="001763AE">
              <w:rPr>
                <w:rFonts w:eastAsia="Arial Unicode MS" w:cs="Times New Roman"/>
                <w:sz w:val="20"/>
                <w:szCs w:val="20"/>
              </w:rPr>
              <w:t>2</w:t>
            </w:r>
          </w:p>
        </w:tc>
        <w:tc>
          <w:tcPr>
            <w:tcW w:w="981" w:type="pct"/>
          </w:tcPr>
          <w:p w:rsidR="008812C6" w:rsidRPr="001763AE" w:rsidRDefault="008812C6" w:rsidP="008812C6">
            <w:pPr>
              <w:rPr>
                <w:rFonts w:eastAsia="Arial Unicode MS" w:cs="Times New Roman"/>
                <w:sz w:val="20"/>
                <w:szCs w:val="20"/>
              </w:rPr>
            </w:pPr>
            <w:r w:rsidRPr="001763AE">
              <w:rPr>
                <w:rFonts w:eastAsia="Arial Unicode MS" w:cs="Times New Roman"/>
                <w:sz w:val="20"/>
                <w:szCs w:val="20"/>
              </w:rPr>
              <w:t>4</w:t>
            </w:r>
            <w:r w:rsidR="00F21E64" w:rsidRPr="001763AE">
              <w:rPr>
                <w:rFonts w:eastAsia="Arial Unicode MS" w:cs="Times New Roman"/>
                <w:sz w:val="20"/>
                <w:szCs w:val="20"/>
              </w:rPr>
              <w:t>.88</w:t>
            </w:r>
          </w:p>
        </w:tc>
      </w:tr>
      <w:tr w:rsidR="00850153" w:rsidRPr="001763AE" w:rsidTr="00F21E64">
        <w:trPr>
          <w:trHeight w:val="341"/>
        </w:trPr>
        <w:tc>
          <w:tcPr>
            <w:tcW w:w="983" w:type="pct"/>
          </w:tcPr>
          <w:p w:rsidR="00850153" w:rsidRPr="001763AE" w:rsidRDefault="00850153" w:rsidP="00F21E64">
            <w:pPr>
              <w:jc w:val="right"/>
              <w:rPr>
                <w:rFonts w:eastAsia="Arial Unicode MS" w:cs="Times New Roman"/>
                <w:b/>
                <w:color w:val="000000"/>
                <w:sz w:val="20"/>
                <w:szCs w:val="20"/>
              </w:rPr>
            </w:pPr>
            <w:r w:rsidRPr="001763AE">
              <w:rPr>
                <w:rFonts w:cs="Times New Roman"/>
                <w:b/>
                <w:color w:val="000000"/>
                <w:sz w:val="20"/>
                <w:szCs w:val="20"/>
              </w:rPr>
              <w:t>Executing Agency</w:t>
            </w:r>
          </w:p>
        </w:tc>
        <w:tc>
          <w:tcPr>
            <w:tcW w:w="940" w:type="pct"/>
          </w:tcPr>
          <w:p w:rsidR="00427F20" w:rsidRPr="001763AE" w:rsidRDefault="00405B60" w:rsidP="00405B60">
            <w:pPr>
              <w:tabs>
                <w:tab w:val="right" w:pos="0"/>
              </w:tabs>
              <w:rPr>
                <w:rFonts w:cs="Times New Roman"/>
                <w:sz w:val="20"/>
                <w:szCs w:val="20"/>
              </w:rPr>
            </w:pPr>
            <w:r w:rsidRPr="001763AE">
              <w:rPr>
                <w:rFonts w:cs="Times New Roman"/>
                <w:sz w:val="20"/>
                <w:szCs w:val="20"/>
              </w:rPr>
              <w:t xml:space="preserve">Ministry of Environment and </w:t>
            </w:r>
            <w:r w:rsidR="004F3253" w:rsidRPr="001763AE">
              <w:rPr>
                <w:rFonts w:cs="Times New Roman"/>
                <w:sz w:val="20"/>
                <w:szCs w:val="20"/>
              </w:rPr>
              <w:t>Climate Change</w:t>
            </w:r>
          </w:p>
          <w:p w:rsidR="00850153" w:rsidRPr="001763AE" w:rsidRDefault="00405B60" w:rsidP="00405B60">
            <w:pPr>
              <w:tabs>
                <w:tab w:val="right" w:pos="0"/>
              </w:tabs>
              <w:rPr>
                <w:rFonts w:cs="Times New Roman"/>
                <w:sz w:val="20"/>
                <w:szCs w:val="20"/>
              </w:rPr>
            </w:pPr>
            <w:r w:rsidRPr="001763AE">
              <w:rPr>
                <w:rFonts w:cs="Times New Roman"/>
                <w:sz w:val="20"/>
                <w:szCs w:val="20"/>
              </w:rPr>
              <w:t>(</w:t>
            </w:r>
            <w:r w:rsidR="00850153" w:rsidRPr="001763AE">
              <w:rPr>
                <w:rFonts w:cs="Times New Roman"/>
                <w:sz w:val="20"/>
                <w:szCs w:val="20"/>
              </w:rPr>
              <w:t>National Forest Administration</w:t>
            </w:r>
            <w:r w:rsidRPr="001763AE">
              <w:rPr>
                <w:rFonts w:cs="Times New Roman"/>
                <w:sz w:val="20"/>
                <w:szCs w:val="20"/>
              </w:rPr>
              <w:t>)</w:t>
            </w:r>
          </w:p>
        </w:tc>
        <w:tc>
          <w:tcPr>
            <w:tcW w:w="914" w:type="pct"/>
          </w:tcPr>
          <w:p w:rsidR="00850153" w:rsidRPr="001763AE" w:rsidRDefault="00850153" w:rsidP="00850153">
            <w:pPr>
              <w:jc w:val="right"/>
              <w:rPr>
                <w:rFonts w:eastAsia="Arial Unicode MS" w:cs="Times New Roman"/>
                <w:b/>
                <w:color w:val="000000"/>
                <w:sz w:val="20"/>
                <w:szCs w:val="20"/>
              </w:rPr>
            </w:pPr>
            <w:r w:rsidRPr="001763AE">
              <w:rPr>
                <w:rFonts w:cs="Times New Roman"/>
                <w:b/>
                <w:color w:val="000000"/>
                <w:sz w:val="20"/>
                <w:szCs w:val="20"/>
              </w:rPr>
              <w:t>Total Project Cost:</w:t>
            </w:r>
          </w:p>
        </w:tc>
        <w:tc>
          <w:tcPr>
            <w:tcW w:w="1182" w:type="pct"/>
            <w:gridSpan w:val="2"/>
          </w:tcPr>
          <w:p w:rsidR="00850153" w:rsidRPr="001763AE" w:rsidRDefault="008812C6" w:rsidP="00850153">
            <w:pPr>
              <w:rPr>
                <w:rFonts w:eastAsia="Arial Unicode MS" w:cs="Times New Roman"/>
                <w:sz w:val="20"/>
                <w:szCs w:val="20"/>
              </w:rPr>
            </w:pPr>
            <w:r w:rsidRPr="001763AE">
              <w:rPr>
                <w:rFonts w:cs="Times New Roman"/>
                <w:sz w:val="20"/>
                <w:szCs w:val="20"/>
              </w:rPr>
              <w:t>5</w:t>
            </w:r>
            <w:r w:rsidR="006C3433" w:rsidRPr="001763AE">
              <w:rPr>
                <w:rFonts w:cs="Times New Roman"/>
                <w:sz w:val="20"/>
                <w:szCs w:val="20"/>
              </w:rPr>
              <w:t>.6</w:t>
            </w:r>
            <w:r w:rsidR="00F21E64" w:rsidRPr="001763AE">
              <w:rPr>
                <w:rFonts w:cs="Times New Roman"/>
                <w:sz w:val="20"/>
                <w:szCs w:val="20"/>
              </w:rPr>
              <w:t>7</w:t>
            </w:r>
          </w:p>
        </w:tc>
        <w:tc>
          <w:tcPr>
            <w:tcW w:w="981" w:type="pct"/>
          </w:tcPr>
          <w:p w:rsidR="00850153" w:rsidRPr="001763AE" w:rsidRDefault="008812C6" w:rsidP="00F21E64">
            <w:pPr>
              <w:jc w:val="both"/>
              <w:rPr>
                <w:rFonts w:eastAsia="Arial Unicode MS" w:cs="Times New Roman"/>
                <w:sz w:val="20"/>
                <w:szCs w:val="20"/>
              </w:rPr>
            </w:pPr>
            <w:r w:rsidRPr="001763AE">
              <w:rPr>
                <w:rFonts w:cs="Times New Roman"/>
                <w:sz w:val="20"/>
                <w:szCs w:val="20"/>
              </w:rPr>
              <w:t>5</w:t>
            </w:r>
            <w:r w:rsidR="00F21E64" w:rsidRPr="001763AE">
              <w:rPr>
                <w:rFonts w:cs="Times New Roman"/>
                <w:sz w:val="20"/>
                <w:szCs w:val="20"/>
              </w:rPr>
              <w:t>.86</w:t>
            </w:r>
          </w:p>
        </w:tc>
      </w:tr>
      <w:tr w:rsidR="00850153" w:rsidRPr="001763AE" w:rsidTr="00F21E64">
        <w:trPr>
          <w:trHeight w:val="368"/>
        </w:trPr>
        <w:tc>
          <w:tcPr>
            <w:tcW w:w="983" w:type="pct"/>
            <w:vMerge w:val="restart"/>
          </w:tcPr>
          <w:p w:rsidR="00850153" w:rsidRPr="001763AE" w:rsidRDefault="00F21E64" w:rsidP="00850153">
            <w:pPr>
              <w:jc w:val="right"/>
              <w:rPr>
                <w:rFonts w:eastAsia="Arial Unicode MS" w:cs="Times New Roman"/>
                <w:b/>
                <w:sz w:val="20"/>
                <w:szCs w:val="20"/>
              </w:rPr>
            </w:pPr>
            <w:r w:rsidRPr="001763AE">
              <w:rPr>
                <w:rFonts w:cs="Times New Roman"/>
                <w:b/>
                <w:sz w:val="20"/>
                <w:szCs w:val="20"/>
              </w:rPr>
              <w:t>Other Partners involved</w:t>
            </w:r>
          </w:p>
        </w:tc>
        <w:tc>
          <w:tcPr>
            <w:tcW w:w="940" w:type="pct"/>
            <w:vMerge w:val="restart"/>
          </w:tcPr>
          <w:p w:rsidR="00850153" w:rsidRPr="001763AE" w:rsidRDefault="00850153" w:rsidP="00850153">
            <w:pPr>
              <w:tabs>
                <w:tab w:val="right" w:pos="0"/>
              </w:tabs>
              <w:rPr>
                <w:rFonts w:cs="Times New Roman"/>
                <w:color w:val="000000"/>
                <w:sz w:val="20"/>
                <w:szCs w:val="20"/>
              </w:rPr>
            </w:pPr>
            <w:r w:rsidRPr="001763AE">
              <w:rPr>
                <w:rFonts w:cs="Times New Roman"/>
                <w:sz w:val="20"/>
                <w:szCs w:val="20"/>
              </w:rPr>
              <w:t>UNDP, WWF</w:t>
            </w:r>
          </w:p>
        </w:tc>
        <w:tc>
          <w:tcPr>
            <w:tcW w:w="2096" w:type="pct"/>
            <w:gridSpan w:val="3"/>
          </w:tcPr>
          <w:p w:rsidR="00850153" w:rsidRPr="001763AE" w:rsidRDefault="00850153" w:rsidP="00850153">
            <w:pPr>
              <w:tabs>
                <w:tab w:val="right" w:pos="0"/>
              </w:tabs>
              <w:jc w:val="right"/>
              <w:rPr>
                <w:rFonts w:cs="Times New Roman"/>
                <w:b/>
                <w:sz w:val="20"/>
                <w:szCs w:val="20"/>
              </w:rPr>
            </w:pPr>
            <w:r w:rsidRPr="001763AE">
              <w:rPr>
                <w:rFonts w:cs="Times New Roman"/>
                <w:b/>
                <w:color w:val="000000"/>
                <w:sz w:val="20"/>
                <w:szCs w:val="20"/>
              </w:rPr>
              <w:t xml:space="preserve">ProDoc Signature (date project began): </w:t>
            </w:r>
          </w:p>
        </w:tc>
        <w:tc>
          <w:tcPr>
            <w:tcW w:w="981" w:type="pct"/>
          </w:tcPr>
          <w:p w:rsidR="00850153" w:rsidRPr="001763AE" w:rsidRDefault="00850153" w:rsidP="00850153">
            <w:pPr>
              <w:tabs>
                <w:tab w:val="right" w:pos="0"/>
              </w:tabs>
              <w:rPr>
                <w:rFonts w:cs="Times New Roman"/>
                <w:sz w:val="20"/>
                <w:szCs w:val="20"/>
              </w:rPr>
            </w:pPr>
            <w:r w:rsidRPr="001763AE">
              <w:rPr>
                <w:rFonts w:cs="Times New Roman"/>
                <w:sz w:val="20"/>
                <w:szCs w:val="20"/>
              </w:rPr>
              <w:t>27 November 2009</w:t>
            </w:r>
          </w:p>
        </w:tc>
      </w:tr>
      <w:tr w:rsidR="00850153" w:rsidRPr="001763AE" w:rsidTr="00F21E64">
        <w:trPr>
          <w:trHeight w:val="144"/>
        </w:trPr>
        <w:tc>
          <w:tcPr>
            <w:tcW w:w="983" w:type="pct"/>
            <w:vMerge/>
          </w:tcPr>
          <w:p w:rsidR="00850153" w:rsidRPr="001763AE" w:rsidRDefault="00850153" w:rsidP="00850153">
            <w:pPr>
              <w:rPr>
                <w:rFonts w:eastAsia="Arial Unicode MS" w:cs="Times New Roman"/>
                <w:sz w:val="20"/>
                <w:szCs w:val="20"/>
              </w:rPr>
            </w:pPr>
          </w:p>
        </w:tc>
        <w:tc>
          <w:tcPr>
            <w:tcW w:w="940" w:type="pct"/>
            <w:vMerge/>
          </w:tcPr>
          <w:p w:rsidR="00850153" w:rsidRPr="001763AE" w:rsidRDefault="00850153" w:rsidP="00850153">
            <w:pPr>
              <w:tabs>
                <w:tab w:val="right" w:pos="0"/>
              </w:tabs>
              <w:jc w:val="center"/>
              <w:rPr>
                <w:rFonts w:cs="Times New Roman"/>
                <w:sz w:val="20"/>
                <w:szCs w:val="20"/>
              </w:rPr>
            </w:pPr>
          </w:p>
        </w:tc>
        <w:tc>
          <w:tcPr>
            <w:tcW w:w="1213" w:type="pct"/>
            <w:gridSpan w:val="2"/>
          </w:tcPr>
          <w:p w:rsidR="00850153" w:rsidRPr="001763AE" w:rsidRDefault="00850153" w:rsidP="00850153">
            <w:pPr>
              <w:jc w:val="right"/>
              <w:rPr>
                <w:rFonts w:eastAsia="Arial Unicode MS" w:cs="Times New Roman"/>
                <w:color w:val="000000"/>
                <w:sz w:val="20"/>
                <w:szCs w:val="20"/>
              </w:rPr>
            </w:pPr>
            <w:r w:rsidRPr="001763AE">
              <w:rPr>
                <w:rFonts w:cs="Times New Roman"/>
                <w:b/>
                <w:color w:val="000000"/>
                <w:sz w:val="20"/>
                <w:szCs w:val="20"/>
              </w:rPr>
              <w:t>(Operational) Closing Date</w:t>
            </w:r>
            <w:r w:rsidRPr="001763AE">
              <w:rPr>
                <w:rFonts w:cs="Times New Roman"/>
                <w:color w:val="000000"/>
                <w:sz w:val="20"/>
                <w:szCs w:val="20"/>
              </w:rPr>
              <w:t>:</w:t>
            </w:r>
          </w:p>
        </w:tc>
        <w:tc>
          <w:tcPr>
            <w:tcW w:w="883" w:type="pct"/>
          </w:tcPr>
          <w:p w:rsidR="00850153" w:rsidRPr="001763AE" w:rsidRDefault="00850153" w:rsidP="00850153">
            <w:pPr>
              <w:tabs>
                <w:tab w:val="right" w:pos="0"/>
              </w:tabs>
              <w:rPr>
                <w:rFonts w:cs="Times New Roman"/>
                <w:color w:val="000000"/>
                <w:sz w:val="20"/>
                <w:szCs w:val="20"/>
              </w:rPr>
            </w:pPr>
            <w:r w:rsidRPr="001763AE">
              <w:rPr>
                <w:rFonts w:cs="Times New Roman"/>
                <w:color w:val="000000"/>
                <w:sz w:val="20"/>
                <w:szCs w:val="20"/>
              </w:rPr>
              <w:t>Proposed:</w:t>
            </w:r>
          </w:p>
          <w:p w:rsidR="00850153" w:rsidRPr="001763AE" w:rsidRDefault="00405B60" w:rsidP="008812C6">
            <w:pPr>
              <w:tabs>
                <w:tab w:val="right" w:pos="0"/>
              </w:tabs>
              <w:rPr>
                <w:rFonts w:cs="Times New Roman"/>
                <w:color w:val="000000"/>
                <w:sz w:val="20"/>
                <w:szCs w:val="20"/>
              </w:rPr>
            </w:pPr>
            <w:r w:rsidRPr="001763AE">
              <w:rPr>
                <w:rFonts w:cs="Times New Roman"/>
                <w:color w:val="000000"/>
                <w:sz w:val="20"/>
                <w:szCs w:val="20"/>
              </w:rPr>
              <w:t>31 Dec 2013</w:t>
            </w:r>
          </w:p>
        </w:tc>
        <w:tc>
          <w:tcPr>
            <w:tcW w:w="981" w:type="pct"/>
          </w:tcPr>
          <w:p w:rsidR="00850153" w:rsidRPr="001763AE" w:rsidRDefault="00850153" w:rsidP="00850153">
            <w:pPr>
              <w:tabs>
                <w:tab w:val="right" w:pos="0"/>
              </w:tabs>
              <w:rPr>
                <w:rFonts w:cs="Times New Roman"/>
                <w:sz w:val="20"/>
                <w:szCs w:val="20"/>
              </w:rPr>
            </w:pPr>
            <w:r w:rsidRPr="001763AE">
              <w:rPr>
                <w:rFonts w:cs="Times New Roman"/>
                <w:color w:val="000000"/>
                <w:sz w:val="20"/>
                <w:szCs w:val="20"/>
              </w:rPr>
              <w:t>Actual:</w:t>
            </w:r>
          </w:p>
          <w:p w:rsidR="00850153" w:rsidRPr="001763AE" w:rsidRDefault="00850153" w:rsidP="00850153">
            <w:pPr>
              <w:tabs>
                <w:tab w:val="right" w:pos="0"/>
              </w:tabs>
              <w:rPr>
                <w:rFonts w:cs="Times New Roman"/>
                <w:color w:val="000000"/>
                <w:sz w:val="20"/>
                <w:szCs w:val="20"/>
              </w:rPr>
            </w:pPr>
            <w:r w:rsidRPr="001763AE">
              <w:rPr>
                <w:rFonts w:cs="Times New Roman"/>
                <w:sz w:val="20"/>
                <w:szCs w:val="20"/>
              </w:rPr>
              <w:t>30 June 2014</w:t>
            </w:r>
          </w:p>
        </w:tc>
      </w:tr>
    </w:tbl>
    <w:p w:rsidR="0025256D" w:rsidRDefault="00237781" w:rsidP="00C65649">
      <w:pPr>
        <w:pStyle w:val="NumberedPara"/>
        <w:numPr>
          <w:ilvl w:val="0"/>
          <w:numId w:val="0"/>
        </w:numPr>
      </w:pPr>
      <w:r w:rsidRPr="001763AE">
        <w:t>The project</w:t>
      </w:r>
      <w:r w:rsidR="001846FB" w:rsidRPr="001763AE">
        <w:t xml:space="preserve">’s </w:t>
      </w:r>
      <w:r w:rsidR="00F21E64" w:rsidRPr="001763AE">
        <w:t xml:space="preserve">stated </w:t>
      </w:r>
      <w:r w:rsidR="001846FB" w:rsidRPr="001763AE">
        <w:t xml:space="preserve">overall objective was ‘To secure the financial sustainability of Romania’s Carpathian network of PAs, as a model for replication to the entire Carpathian Network of Protected Areas (CNPA)’. </w:t>
      </w:r>
      <w:r w:rsidR="00BE4C65" w:rsidRPr="001763AE">
        <w:rPr>
          <w:lang w:eastAsia="en-GB"/>
        </w:rPr>
        <w:t>Overall,</w:t>
      </w:r>
      <w:r w:rsidR="00C65649" w:rsidRPr="001763AE">
        <w:rPr>
          <w:lang w:eastAsia="en-GB"/>
        </w:rPr>
        <w:t xml:space="preserve"> it was expected that the US$</w:t>
      </w:r>
      <w:r w:rsidR="00C65649" w:rsidRPr="001763AE">
        <w:rPr>
          <w:rStyle w:val="NumberedParaChar"/>
        </w:rPr>
        <w:t>1 million invested in this project could potentially generate additional revenue of $US5 million per year, with a net benefit of US$35 million over the next 10 years (using a 6% discount rate).</w:t>
      </w:r>
      <w:r w:rsidR="00C65649" w:rsidRPr="001763AE">
        <w:rPr>
          <w:rFonts w:cs="Calibri"/>
          <w:sz w:val="20"/>
          <w:lang w:eastAsia="en-GB"/>
        </w:rPr>
        <w:t xml:space="preserve"> </w:t>
      </w:r>
      <w:r w:rsidR="001763AE" w:rsidRPr="001763AE">
        <w:t>To achieve this, the project</w:t>
      </w:r>
      <w:r w:rsidR="001846FB" w:rsidRPr="001763AE">
        <w:t xml:space="preserve"> included two </w:t>
      </w:r>
      <w:r w:rsidRPr="001763AE">
        <w:t>components</w:t>
      </w:r>
      <w:r w:rsidR="00172946" w:rsidRPr="001763AE">
        <w:t>.</w:t>
      </w:r>
    </w:p>
    <w:p w:rsidR="0025256D" w:rsidRDefault="00317D45" w:rsidP="001846FB">
      <w:pPr>
        <w:pStyle w:val="NumberedPara"/>
        <w:numPr>
          <w:ilvl w:val="0"/>
          <w:numId w:val="0"/>
        </w:numPr>
        <w:ind w:left="284"/>
        <w:rPr>
          <w:lang w:eastAsia="en-GB"/>
        </w:rPr>
      </w:pPr>
      <w:r w:rsidRPr="001763AE">
        <w:rPr>
          <w:b/>
          <w:lang w:eastAsia="en-GB"/>
        </w:rPr>
        <w:t>Component 1: Strengthening the supportive legislative framework and sustainable protected areas financing strategy.</w:t>
      </w:r>
      <w:r w:rsidRPr="001763AE">
        <w:rPr>
          <w:lang w:eastAsia="en-GB"/>
        </w:rPr>
        <w:t xml:space="preserve"> This focused mainly on improving the enabling environment in order to allow both long term central funding of protected areas, and generation of new sources of income to support long term funding at the central and local levels (mainly through payments of ecosystem services in various forms).</w:t>
      </w:r>
    </w:p>
    <w:p w:rsidR="0025256D" w:rsidRDefault="00317D45" w:rsidP="001846FB">
      <w:pPr>
        <w:pStyle w:val="NumberedPara"/>
        <w:numPr>
          <w:ilvl w:val="0"/>
          <w:numId w:val="0"/>
        </w:numPr>
        <w:ind w:left="284"/>
        <w:rPr>
          <w:lang w:eastAsia="en-GB"/>
        </w:rPr>
      </w:pPr>
      <w:r w:rsidRPr="001763AE">
        <w:rPr>
          <w:b/>
          <w:lang w:eastAsia="en-GB"/>
        </w:rPr>
        <w:t>Component 2: Strengthening the institutional and individual capacities of management authorities and other local actors.</w:t>
      </w:r>
      <w:r w:rsidR="004620D1" w:rsidRPr="001763AE">
        <w:rPr>
          <w:b/>
          <w:lang w:eastAsia="en-GB"/>
        </w:rPr>
        <w:t xml:space="preserve"> </w:t>
      </w:r>
      <w:r w:rsidR="009C752B" w:rsidRPr="001763AE">
        <w:rPr>
          <w:lang w:eastAsia="en-GB"/>
        </w:rPr>
        <w:t xml:space="preserve">This component focused on building institutional and individual capacities to </w:t>
      </w:r>
      <w:r w:rsidR="009C752B" w:rsidRPr="001763AE">
        <w:rPr>
          <w:lang w:eastAsia="en-GB"/>
        </w:rPr>
        <w:lastRenderedPageBreak/>
        <w:t>understand and implement the meas</w:t>
      </w:r>
      <w:r w:rsidR="001763AE" w:rsidRPr="001763AE">
        <w:rPr>
          <w:lang w:eastAsia="en-GB"/>
        </w:rPr>
        <w:t xml:space="preserve">ures developed under Component </w:t>
      </w:r>
      <w:r w:rsidR="009C752B" w:rsidRPr="001763AE">
        <w:rPr>
          <w:lang w:eastAsia="en-GB"/>
        </w:rPr>
        <w:t>1, both within the Romanian system of protected area</w:t>
      </w:r>
      <w:r w:rsidR="001763AE" w:rsidRPr="001763AE">
        <w:rPr>
          <w:lang w:eastAsia="en-GB"/>
        </w:rPr>
        <w:t>s</w:t>
      </w:r>
      <w:r w:rsidR="009C752B" w:rsidRPr="001763AE">
        <w:rPr>
          <w:lang w:eastAsia="en-GB"/>
        </w:rPr>
        <w:t xml:space="preserve"> and more widely in other Carpathian countries.</w:t>
      </w:r>
    </w:p>
    <w:p w:rsidR="00C65649" w:rsidRPr="001763AE" w:rsidRDefault="000F74D9" w:rsidP="00235F76">
      <w:pPr>
        <w:pStyle w:val="NumberedPara"/>
        <w:numPr>
          <w:ilvl w:val="0"/>
          <w:numId w:val="0"/>
        </w:numPr>
      </w:pPr>
      <w:r w:rsidRPr="001763AE">
        <w:t xml:space="preserve">The Designated Institution (DI) for </w:t>
      </w:r>
      <w:r w:rsidR="00C65649" w:rsidRPr="001763AE">
        <w:t xml:space="preserve">project </w:t>
      </w:r>
      <w:r w:rsidRPr="001763AE">
        <w:t xml:space="preserve">implementation </w:t>
      </w:r>
      <w:r w:rsidR="00C65649" w:rsidRPr="001763AE">
        <w:t>was the Mini</w:t>
      </w:r>
      <w:r w:rsidRPr="001763AE">
        <w:t xml:space="preserve">stry of Environment and </w:t>
      </w:r>
      <w:r w:rsidR="00C65649" w:rsidRPr="001763AE">
        <w:t>Climate Chan</w:t>
      </w:r>
      <w:r w:rsidRPr="001763AE">
        <w:t>ge (MoECC). The Implementation P</w:t>
      </w:r>
      <w:r w:rsidR="00C65649" w:rsidRPr="001763AE">
        <w:t xml:space="preserve">artner </w:t>
      </w:r>
      <w:r w:rsidRPr="001763AE">
        <w:t xml:space="preserve">(IP) </w:t>
      </w:r>
      <w:r w:rsidR="00C65649" w:rsidRPr="001763AE">
        <w:t xml:space="preserve">was the National Forest Administration ‘Romsilva’, which administers 18 </w:t>
      </w:r>
      <w:r w:rsidRPr="001763AE">
        <w:t>protected areas in the Carpathia</w:t>
      </w:r>
      <w:r w:rsidR="00C65649" w:rsidRPr="001763AE">
        <w:t>ns under contracts with the MoECC.</w:t>
      </w:r>
    </w:p>
    <w:p w:rsidR="000E3CD5" w:rsidRPr="001763AE" w:rsidRDefault="000E3CD5" w:rsidP="00F619A8">
      <w:pPr>
        <w:pStyle w:val="Heading2"/>
        <w:numPr>
          <w:ilvl w:val="0"/>
          <w:numId w:val="0"/>
        </w:numPr>
      </w:pPr>
      <w:bookmarkStart w:id="3" w:name="_Toc396725195"/>
      <w:r w:rsidRPr="001763AE">
        <w:t xml:space="preserve">Evaluation </w:t>
      </w:r>
      <w:r w:rsidR="001E08C4">
        <w:t>r</w:t>
      </w:r>
      <w:r w:rsidR="00237781" w:rsidRPr="001763AE">
        <w:t>esults</w:t>
      </w:r>
      <w:bookmarkEnd w:id="3"/>
    </w:p>
    <w:p w:rsidR="00427F20" w:rsidRPr="001763AE" w:rsidRDefault="00BE4C65" w:rsidP="00235F76">
      <w:pPr>
        <w:pStyle w:val="NumberedPara"/>
        <w:numPr>
          <w:ilvl w:val="0"/>
          <w:numId w:val="0"/>
        </w:numPr>
      </w:pPr>
      <w:bookmarkStart w:id="4" w:name="_Ref394859075"/>
      <w:r w:rsidRPr="001763AE">
        <w:t>Overall,</w:t>
      </w:r>
      <w:r w:rsidR="00F619A8" w:rsidRPr="001763AE">
        <w:t xml:space="preserve"> the Project </w:t>
      </w:r>
      <w:r w:rsidR="00820047">
        <w:t>is rated as having moderate shortcomings</w:t>
      </w:r>
      <w:r w:rsidR="0076681A" w:rsidRPr="001763AE">
        <w:t xml:space="preserve">. The rating therefore is </w:t>
      </w:r>
      <w:r w:rsidR="00820047">
        <w:rPr>
          <w:b/>
        </w:rPr>
        <w:t>Moderately S</w:t>
      </w:r>
      <w:r w:rsidR="0076681A" w:rsidRPr="001763AE">
        <w:rPr>
          <w:b/>
        </w:rPr>
        <w:t>atisfactory</w:t>
      </w:r>
      <w:r w:rsidR="0076681A" w:rsidRPr="001763AE">
        <w:rPr>
          <w:b/>
          <w:i/>
        </w:rPr>
        <w:t xml:space="preserve"> </w:t>
      </w:r>
      <w:r w:rsidR="00820047">
        <w:rPr>
          <w:b/>
        </w:rPr>
        <w:t>(MS</w:t>
      </w:r>
      <w:r w:rsidR="0076681A" w:rsidRPr="001763AE">
        <w:rPr>
          <w:b/>
        </w:rPr>
        <w:t>)</w:t>
      </w:r>
      <w:r w:rsidR="00F619A8" w:rsidRPr="001763AE">
        <w:rPr>
          <w:b/>
        </w:rPr>
        <w:t xml:space="preserve"> </w:t>
      </w:r>
      <w:r w:rsidR="00F619A8" w:rsidRPr="001763AE">
        <w:t>(see</w:t>
      </w:r>
      <w:r w:rsidR="00E30C4F" w:rsidRPr="001763AE">
        <w:t xml:space="preserve"> </w:t>
      </w:r>
      <w:r w:rsidR="00217E75" w:rsidRPr="001763AE">
        <w:fldChar w:fldCharType="begin"/>
      </w:r>
      <w:r w:rsidR="00E30C4F" w:rsidRPr="001763AE">
        <w:instrText xml:space="preserve"> REF _Ref392056360 \h </w:instrText>
      </w:r>
      <w:r w:rsidR="00217E75" w:rsidRPr="001763AE">
        <w:fldChar w:fldCharType="separate"/>
      </w:r>
      <w:r w:rsidR="00D406FE" w:rsidRPr="001763AE">
        <w:t xml:space="preserve">Table </w:t>
      </w:r>
      <w:r w:rsidR="00D406FE">
        <w:rPr>
          <w:noProof/>
        </w:rPr>
        <w:t>2</w:t>
      </w:r>
      <w:r w:rsidR="00217E75" w:rsidRPr="001763AE">
        <w:fldChar w:fldCharType="end"/>
      </w:r>
      <w:r w:rsidR="00E30C4F" w:rsidRPr="001763AE">
        <w:t>)</w:t>
      </w:r>
      <w:r w:rsidR="00820047">
        <w:t xml:space="preserve">. </w:t>
      </w:r>
      <w:bookmarkEnd w:id="4"/>
    </w:p>
    <w:p w:rsidR="00213531" w:rsidRDefault="00BE4C65" w:rsidP="00463755">
      <w:pPr>
        <w:pStyle w:val="Caption"/>
      </w:pPr>
      <w:bookmarkStart w:id="5" w:name="_Ref392056360"/>
      <w:r w:rsidRPr="001763AE">
        <w:t xml:space="preserve">Table </w:t>
      </w:r>
      <w:r w:rsidR="00C072C9">
        <w:fldChar w:fldCharType="begin"/>
      </w:r>
      <w:r w:rsidR="00C072C9">
        <w:instrText xml:space="preserve"> SEQ Table \* ARABIC </w:instrText>
      </w:r>
      <w:r w:rsidR="00C072C9">
        <w:fldChar w:fldCharType="separate"/>
      </w:r>
      <w:r w:rsidR="00D406FE">
        <w:rPr>
          <w:noProof/>
        </w:rPr>
        <w:t>2</w:t>
      </w:r>
      <w:r w:rsidR="00C072C9">
        <w:rPr>
          <w:noProof/>
        </w:rPr>
        <w:fldChar w:fldCharType="end"/>
      </w:r>
      <w:bookmarkEnd w:id="5"/>
      <w:r w:rsidRPr="001763AE">
        <w:t xml:space="preserve"> Project Rating Summary.</w:t>
      </w:r>
    </w:p>
    <w:tbl>
      <w:tblPr>
        <w:tblStyle w:val="BasicReportTable"/>
        <w:tblW w:w="5000" w:type="pct"/>
        <w:tblLook w:val="04A0" w:firstRow="1" w:lastRow="0" w:firstColumn="1" w:lastColumn="0" w:noHBand="0" w:noVBand="1"/>
      </w:tblPr>
      <w:tblGrid>
        <w:gridCol w:w="6036"/>
        <w:gridCol w:w="3990"/>
      </w:tblGrid>
      <w:tr w:rsidR="00213531" w:rsidRPr="001763AE" w:rsidTr="00EA7CFE">
        <w:trPr>
          <w:cnfStyle w:val="100000000000" w:firstRow="1" w:lastRow="0" w:firstColumn="0" w:lastColumn="0" w:oddVBand="0" w:evenVBand="0" w:oddHBand="0" w:evenHBand="0" w:firstRowFirstColumn="0" w:firstRowLastColumn="0" w:lastRowFirstColumn="0" w:lastRowLastColumn="0"/>
        </w:trPr>
        <w:tc>
          <w:tcPr>
            <w:tcW w:w="3010" w:type="pct"/>
          </w:tcPr>
          <w:p w:rsidR="00213531" w:rsidRPr="001763AE" w:rsidRDefault="00213531" w:rsidP="00EA7CFE">
            <w:r w:rsidRPr="001763AE">
              <w:t>Criteria Evaluated</w:t>
            </w:r>
          </w:p>
        </w:tc>
        <w:tc>
          <w:tcPr>
            <w:tcW w:w="1990" w:type="pct"/>
          </w:tcPr>
          <w:p w:rsidR="00213531" w:rsidRPr="001763AE" w:rsidRDefault="00213531" w:rsidP="00EA7CFE">
            <w:r w:rsidRPr="001763AE">
              <w:t>Rating</w:t>
            </w:r>
          </w:p>
        </w:tc>
      </w:tr>
      <w:tr w:rsidR="00213531" w:rsidRPr="001763AE" w:rsidTr="00EA7CFE">
        <w:tc>
          <w:tcPr>
            <w:tcW w:w="3010" w:type="pct"/>
          </w:tcPr>
          <w:p w:rsidR="00213531" w:rsidRPr="001763AE" w:rsidRDefault="00213531" w:rsidP="00EA7CFE">
            <w:pPr>
              <w:rPr>
                <w:b/>
              </w:rPr>
            </w:pPr>
            <w:r w:rsidRPr="001763AE">
              <w:rPr>
                <w:b/>
              </w:rPr>
              <w:t>OVERALL RATING*</w:t>
            </w:r>
          </w:p>
        </w:tc>
        <w:tc>
          <w:tcPr>
            <w:tcW w:w="1990" w:type="pct"/>
          </w:tcPr>
          <w:p w:rsidR="0025256D" w:rsidRDefault="00213531" w:rsidP="00EA7CFE">
            <w:pPr>
              <w:rPr>
                <w:b/>
              </w:rPr>
            </w:pPr>
            <w:r w:rsidRPr="000B0D3B">
              <w:rPr>
                <w:b/>
              </w:rPr>
              <w:t>MS: Moderately Satisfactory</w:t>
            </w:r>
          </w:p>
          <w:p w:rsidR="00213531" w:rsidRPr="001763AE" w:rsidRDefault="00213531" w:rsidP="00EA7CFE">
            <w:r w:rsidRPr="000B0D3B">
              <w:rPr>
                <w:b/>
              </w:rPr>
              <w:t>(Moderate shortcomings)</w:t>
            </w:r>
          </w:p>
        </w:tc>
      </w:tr>
      <w:tr w:rsidR="00213531" w:rsidRPr="001763AE" w:rsidTr="00EA7CFE">
        <w:tc>
          <w:tcPr>
            <w:tcW w:w="3010" w:type="pct"/>
          </w:tcPr>
          <w:p w:rsidR="00213531" w:rsidRPr="001763AE" w:rsidRDefault="00213531" w:rsidP="00EA7CFE">
            <w:pPr>
              <w:rPr>
                <w:b/>
              </w:rPr>
            </w:pPr>
            <w:r w:rsidRPr="001763AE">
              <w:rPr>
                <w:b/>
              </w:rPr>
              <w:t>Monitoring and evaluation*</w:t>
            </w:r>
          </w:p>
        </w:tc>
        <w:tc>
          <w:tcPr>
            <w:tcW w:w="1990" w:type="pct"/>
          </w:tcPr>
          <w:p w:rsidR="00213531" w:rsidRPr="001763AE" w:rsidRDefault="00213531" w:rsidP="00EA7CFE"/>
        </w:tc>
      </w:tr>
      <w:tr w:rsidR="00213531" w:rsidRPr="001763AE" w:rsidTr="00EA7CFE">
        <w:tc>
          <w:tcPr>
            <w:tcW w:w="3010" w:type="pct"/>
          </w:tcPr>
          <w:p w:rsidR="00213531" w:rsidRPr="00216CF6" w:rsidRDefault="00213531" w:rsidP="00EA7CFE">
            <w:pPr>
              <w:rPr>
                <w:b/>
              </w:rPr>
            </w:pPr>
            <w:r w:rsidRPr="00216CF6">
              <w:rPr>
                <w:b/>
              </w:rPr>
              <w:t>Overall quality of M &amp; E</w:t>
            </w:r>
          </w:p>
        </w:tc>
        <w:tc>
          <w:tcPr>
            <w:tcW w:w="1990" w:type="pct"/>
          </w:tcPr>
          <w:p w:rsidR="00213531" w:rsidRPr="00216CF6" w:rsidRDefault="000B0D3B" w:rsidP="00EA7CFE">
            <w:pPr>
              <w:rPr>
                <w:b/>
              </w:rPr>
            </w:pPr>
            <w:r>
              <w:rPr>
                <w:b/>
              </w:rPr>
              <w:t>S</w:t>
            </w:r>
          </w:p>
        </w:tc>
      </w:tr>
      <w:tr w:rsidR="00213531" w:rsidRPr="001763AE" w:rsidTr="00EA7CFE">
        <w:tc>
          <w:tcPr>
            <w:tcW w:w="3010" w:type="pct"/>
          </w:tcPr>
          <w:p w:rsidR="00213531" w:rsidRPr="001763AE" w:rsidRDefault="00213531" w:rsidP="00EA7CFE">
            <w:r w:rsidRPr="001763AE">
              <w:tab/>
              <w:t>M &amp; E at project start up</w:t>
            </w:r>
          </w:p>
        </w:tc>
        <w:tc>
          <w:tcPr>
            <w:tcW w:w="1990" w:type="pct"/>
          </w:tcPr>
          <w:p w:rsidR="00213531" w:rsidRPr="001763AE" w:rsidRDefault="00213531" w:rsidP="00EA7CFE">
            <w:r w:rsidRPr="001763AE">
              <w:t>MS</w:t>
            </w:r>
          </w:p>
        </w:tc>
      </w:tr>
      <w:tr w:rsidR="00213531" w:rsidRPr="001763AE" w:rsidTr="00EA7CFE">
        <w:tc>
          <w:tcPr>
            <w:tcW w:w="3010" w:type="pct"/>
          </w:tcPr>
          <w:p w:rsidR="00213531" w:rsidRPr="001763AE" w:rsidRDefault="00213531" w:rsidP="00EA7CFE">
            <w:r w:rsidRPr="001763AE">
              <w:tab/>
              <w:t xml:space="preserve">M &amp; E Plan implementation </w:t>
            </w:r>
          </w:p>
        </w:tc>
        <w:tc>
          <w:tcPr>
            <w:tcW w:w="1990" w:type="pct"/>
          </w:tcPr>
          <w:p w:rsidR="00213531" w:rsidRPr="001763AE" w:rsidRDefault="00213531" w:rsidP="00EA7CFE">
            <w:r w:rsidRPr="001763AE">
              <w:t>S</w:t>
            </w:r>
          </w:p>
        </w:tc>
      </w:tr>
      <w:tr w:rsidR="00213531" w:rsidRPr="001763AE" w:rsidTr="00EA7CFE">
        <w:tc>
          <w:tcPr>
            <w:tcW w:w="3010" w:type="pct"/>
          </w:tcPr>
          <w:p w:rsidR="00213531" w:rsidRPr="001763AE" w:rsidRDefault="00213531" w:rsidP="00EA7CFE">
            <w:pPr>
              <w:rPr>
                <w:b/>
              </w:rPr>
            </w:pPr>
            <w:r w:rsidRPr="001763AE">
              <w:rPr>
                <w:b/>
              </w:rPr>
              <w:t>Implementation and execution*</w:t>
            </w:r>
          </w:p>
        </w:tc>
        <w:tc>
          <w:tcPr>
            <w:tcW w:w="1990" w:type="pct"/>
          </w:tcPr>
          <w:p w:rsidR="00213531" w:rsidRPr="001763AE" w:rsidRDefault="00213531" w:rsidP="00EA7CFE"/>
        </w:tc>
      </w:tr>
      <w:tr w:rsidR="00213531" w:rsidRPr="001763AE" w:rsidTr="00EA7CFE">
        <w:tc>
          <w:tcPr>
            <w:tcW w:w="3010" w:type="pct"/>
          </w:tcPr>
          <w:p w:rsidR="00213531" w:rsidRPr="001763AE" w:rsidRDefault="00213531" w:rsidP="00EA7CFE">
            <w:r w:rsidRPr="001763AE">
              <w:t>Overall quality of project implementation/execution</w:t>
            </w:r>
          </w:p>
        </w:tc>
        <w:tc>
          <w:tcPr>
            <w:tcW w:w="1990" w:type="pct"/>
          </w:tcPr>
          <w:p w:rsidR="00213531" w:rsidRPr="001763AE" w:rsidRDefault="00213531" w:rsidP="00EA7CFE"/>
        </w:tc>
      </w:tr>
      <w:tr w:rsidR="00213531" w:rsidRPr="001763AE" w:rsidTr="00EA7CFE">
        <w:tc>
          <w:tcPr>
            <w:tcW w:w="3010" w:type="pct"/>
          </w:tcPr>
          <w:p w:rsidR="00213531" w:rsidRPr="001763AE" w:rsidRDefault="00213531" w:rsidP="00EA7CFE">
            <w:r w:rsidRPr="001763AE">
              <w:tab/>
              <w:t xml:space="preserve">MoECC </w:t>
            </w:r>
          </w:p>
        </w:tc>
        <w:tc>
          <w:tcPr>
            <w:tcW w:w="1990" w:type="pct"/>
          </w:tcPr>
          <w:p w:rsidR="00213531" w:rsidRPr="001763AE" w:rsidRDefault="00213531" w:rsidP="00EA7CFE">
            <w:r w:rsidRPr="001763AE">
              <w:t>MU</w:t>
            </w:r>
          </w:p>
        </w:tc>
      </w:tr>
      <w:tr w:rsidR="00213531" w:rsidRPr="001763AE" w:rsidTr="00EA7CFE">
        <w:tc>
          <w:tcPr>
            <w:tcW w:w="3010" w:type="pct"/>
          </w:tcPr>
          <w:p w:rsidR="00213531" w:rsidRPr="001763AE" w:rsidRDefault="00213531" w:rsidP="00EA7CFE">
            <w:r w:rsidRPr="001763AE">
              <w:tab/>
              <w:t xml:space="preserve">FA </w:t>
            </w:r>
          </w:p>
        </w:tc>
        <w:tc>
          <w:tcPr>
            <w:tcW w:w="1990" w:type="pct"/>
          </w:tcPr>
          <w:p w:rsidR="00213531" w:rsidRPr="001763AE" w:rsidRDefault="00213531" w:rsidP="00EA7CFE">
            <w:r w:rsidRPr="001763AE">
              <w:t>S</w:t>
            </w:r>
          </w:p>
        </w:tc>
      </w:tr>
      <w:tr w:rsidR="00213531" w:rsidRPr="001763AE" w:rsidTr="00EA7CFE">
        <w:tc>
          <w:tcPr>
            <w:tcW w:w="3010" w:type="pct"/>
          </w:tcPr>
          <w:p w:rsidR="00213531" w:rsidRPr="001763AE" w:rsidRDefault="00213531" w:rsidP="00EA7CFE">
            <w:r w:rsidRPr="001763AE">
              <w:tab/>
              <w:t>UNDP</w:t>
            </w:r>
          </w:p>
        </w:tc>
        <w:tc>
          <w:tcPr>
            <w:tcW w:w="1990" w:type="pct"/>
          </w:tcPr>
          <w:p w:rsidR="00213531" w:rsidRPr="001763AE" w:rsidRDefault="00213531" w:rsidP="00EA7CFE">
            <w:r w:rsidRPr="001763AE">
              <w:t>S</w:t>
            </w:r>
          </w:p>
        </w:tc>
      </w:tr>
      <w:tr w:rsidR="00213531" w:rsidRPr="001763AE" w:rsidTr="00EA7CFE">
        <w:tc>
          <w:tcPr>
            <w:tcW w:w="3010" w:type="pct"/>
          </w:tcPr>
          <w:p w:rsidR="00213531" w:rsidRPr="001763AE" w:rsidRDefault="00213531" w:rsidP="00EA7CFE">
            <w:pPr>
              <w:rPr>
                <w:b/>
              </w:rPr>
            </w:pPr>
            <w:r w:rsidRPr="001763AE">
              <w:rPr>
                <w:b/>
              </w:rPr>
              <w:t>Outcomes*</w:t>
            </w:r>
          </w:p>
        </w:tc>
        <w:tc>
          <w:tcPr>
            <w:tcW w:w="1990" w:type="pct"/>
          </w:tcPr>
          <w:p w:rsidR="00213531" w:rsidRPr="001763AE" w:rsidRDefault="00213531" w:rsidP="00EA7CFE"/>
        </w:tc>
      </w:tr>
      <w:tr w:rsidR="00213531" w:rsidRPr="001763AE" w:rsidTr="00EA7CFE">
        <w:tc>
          <w:tcPr>
            <w:tcW w:w="3010" w:type="pct"/>
          </w:tcPr>
          <w:p w:rsidR="00213531" w:rsidRPr="001763AE" w:rsidRDefault="00213531" w:rsidP="00EA7CFE">
            <w:r w:rsidRPr="001763AE">
              <w:tab/>
              <w:t xml:space="preserve">Attainment of Overall Objective </w:t>
            </w:r>
          </w:p>
        </w:tc>
        <w:tc>
          <w:tcPr>
            <w:tcW w:w="1990" w:type="pct"/>
          </w:tcPr>
          <w:p w:rsidR="00213531" w:rsidRPr="001763AE" w:rsidRDefault="00213531" w:rsidP="00EA7CFE">
            <w:r w:rsidRPr="001763AE">
              <w:t>MS</w:t>
            </w:r>
          </w:p>
        </w:tc>
      </w:tr>
      <w:tr w:rsidR="00213531" w:rsidRPr="001763AE" w:rsidTr="00EA7CFE">
        <w:tc>
          <w:tcPr>
            <w:tcW w:w="3010" w:type="pct"/>
          </w:tcPr>
          <w:p w:rsidR="00213531" w:rsidRPr="001763AE" w:rsidRDefault="00213531" w:rsidP="00EA7CFE">
            <w:r w:rsidRPr="001763AE">
              <w:tab/>
              <w:t>Quality of Outcome 1</w:t>
            </w:r>
          </w:p>
        </w:tc>
        <w:tc>
          <w:tcPr>
            <w:tcW w:w="1990" w:type="pct"/>
          </w:tcPr>
          <w:p w:rsidR="00213531" w:rsidRPr="001763AE" w:rsidRDefault="00213531" w:rsidP="00EA7CFE">
            <w:r w:rsidRPr="001763AE">
              <w:t>MS</w:t>
            </w:r>
          </w:p>
        </w:tc>
      </w:tr>
      <w:tr w:rsidR="00213531" w:rsidRPr="001763AE" w:rsidTr="00EA7CFE">
        <w:tc>
          <w:tcPr>
            <w:tcW w:w="3010" w:type="pct"/>
          </w:tcPr>
          <w:p w:rsidR="00213531" w:rsidRPr="001763AE" w:rsidRDefault="00213531" w:rsidP="00EA7CFE">
            <w:r w:rsidRPr="001763AE">
              <w:tab/>
              <w:t>Quality of Outcome 2</w:t>
            </w:r>
          </w:p>
        </w:tc>
        <w:tc>
          <w:tcPr>
            <w:tcW w:w="1990" w:type="pct"/>
          </w:tcPr>
          <w:p w:rsidR="00213531" w:rsidRPr="001763AE" w:rsidRDefault="00213531" w:rsidP="00EA7CFE">
            <w:r w:rsidRPr="001763AE">
              <w:t>S</w:t>
            </w:r>
          </w:p>
        </w:tc>
      </w:tr>
      <w:tr w:rsidR="00213531" w:rsidRPr="001763AE" w:rsidTr="00EA7CFE">
        <w:tc>
          <w:tcPr>
            <w:tcW w:w="3010" w:type="pct"/>
          </w:tcPr>
          <w:p w:rsidR="00213531" w:rsidRPr="001763AE" w:rsidRDefault="00213531" w:rsidP="00EA7CFE">
            <w:pPr>
              <w:rPr>
                <w:b/>
              </w:rPr>
            </w:pPr>
            <w:r w:rsidRPr="001763AE">
              <w:rPr>
                <w:b/>
              </w:rPr>
              <w:t>Relevance**</w:t>
            </w:r>
          </w:p>
        </w:tc>
        <w:tc>
          <w:tcPr>
            <w:tcW w:w="1990" w:type="pct"/>
          </w:tcPr>
          <w:p w:rsidR="00213531" w:rsidRPr="001763AE" w:rsidRDefault="00213531" w:rsidP="00EA7CFE">
            <w:r w:rsidRPr="001763AE">
              <w:t>R</w:t>
            </w:r>
          </w:p>
        </w:tc>
      </w:tr>
      <w:tr w:rsidR="00213531" w:rsidRPr="001763AE" w:rsidTr="00EA7CFE">
        <w:tc>
          <w:tcPr>
            <w:tcW w:w="3010" w:type="pct"/>
          </w:tcPr>
          <w:p w:rsidR="00213531" w:rsidRPr="001763AE" w:rsidRDefault="00213531" w:rsidP="00EA7CFE">
            <w:pPr>
              <w:rPr>
                <w:b/>
              </w:rPr>
            </w:pPr>
            <w:r w:rsidRPr="001763AE">
              <w:rPr>
                <w:b/>
              </w:rPr>
              <w:t>Effectiveness *</w:t>
            </w:r>
          </w:p>
        </w:tc>
        <w:tc>
          <w:tcPr>
            <w:tcW w:w="1990" w:type="pct"/>
          </w:tcPr>
          <w:p w:rsidR="00213531" w:rsidRPr="001763AE" w:rsidRDefault="00213531" w:rsidP="00EA7CFE">
            <w:r w:rsidRPr="001763AE">
              <w:t>MS</w:t>
            </w:r>
          </w:p>
        </w:tc>
      </w:tr>
      <w:tr w:rsidR="00213531" w:rsidRPr="001763AE" w:rsidTr="00EA7CFE">
        <w:tc>
          <w:tcPr>
            <w:tcW w:w="3010" w:type="pct"/>
          </w:tcPr>
          <w:p w:rsidR="00213531" w:rsidRPr="001763AE" w:rsidRDefault="00213531" w:rsidP="00EA7CFE">
            <w:pPr>
              <w:rPr>
                <w:b/>
              </w:rPr>
            </w:pPr>
            <w:r w:rsidRPr="001763AE">
              <w:rPr>
                <w:b/>
              </w:rPr>
              <w:t>Efficiency*</w:t>
            </w:r>
          </w:p>
        </w:tc>
        <w:tc>
          <w:tcPr>
            <w:tcW w:w="1990" w:type="pct"/>
          </w:tcPr>
          <w:p w:rsidR="00213531" w:rsidRPr="001763AE" w:rsidRDefault="00213531" w:rsidP="00EA7CFE">
            <w:r w:rsidRPr="001763AE">
              <w:t>S</w:t>
            </w:r>
          </w:p>
        </w:tc>
      </w:tr>
      <w:tr w:rsidR="00213531" w:rsidRPr="001763AE" w:rsidTr="00EA7CFE">
        <w:tc>
          <w:tcPr>
            <w:tcW w:w="3010" w:type="pct"/>
          </w:tcPr>
          <w:p w:rsidR="00213531" w:rsidRPr="001763AE" w:rsidRDefault="00213531" w:rsidP="00EA7CFE">
            <w:pPr>
              <w:rPr>
                <w:b/>
              </w:rPr>
            </w:pPr>
            <w:r w:rsidRPr="001763AE">
              <w:rPr>
                <w:b/>
              </w:rPr>
              <w:t>Sustainability***</w:t>
            </w:r>
          </w:p>
        </w:tc>
        <w:tc>
          <w:tcPr>
            <w:tcW w:w="1990" w:type="pct"/>
          </w:tcPr>
          <w:p w:rsidR="00213531" w:rsidRPr="001763AE" w:rsidRDefault="00213531" w:rsidP="00EA7CFE">
            <w:pPr>
              <w:rPr>
                <w:sz w:val="18"/>
                <w:szCs w:val="18"/>
              </w:rPr>
            </w:pPr>
          </w:p>
        </w:tc>
      </w:tr>
      <w:tr w:rsidR="00213531" w:rsidRPr="001763AE" w:rsidTr="00EA7CFE">
        <w:tc>
          <w:tcPr>
            <w:tcW w:w="3010" w:type="pct"/>
          </w:tcPr>
          <w:p w:rsidR="00213531" w:rsidRPr="001763AE" w:rsidRDefault="00213531" w:rsidP="00EA7CFE">
            <w:r w:rsidRPr="001763AE">
              <w:t>Overall likelihood of risks to sustainability</w:t>
            </w:r>
          </w:p>
        </w:tc>
        <w:tc>
          <w:tcPr>
            <w:tcW w:w="1990" w:type="pct"/>
          </w:tcPr>
          <w:p w:rsidR="00213531" w:rsidRPr="001763AE" w:rsidRDefault="00213531" w:rsidP="00EA7CFE">
            <w:r w:rsidRPr="001763AE">
              <w:t>ML</w:t>
            </w:r>
          </w:p>
        </w:tc>
      </w:tr>
      <w:tr w:rsidR="00213531" w:rsidRPr="001763AE" w:rsidTr="00EA7CFE">
        <w:tc>
          <w:tcPr>
            <w:tcW w:w="3010" w:type="pct"/>
          </w:tcPr>
          <w:p w:rsidR="00213531" w:rsidRPr="001763AE" w:rsidRDefault="00213531" w:rsidP="00EA7CFE">
            <w:r w:rsidRPr="001763AE">
              <w:tab/>
              <w:t xml:space="preserve">Financial risks </w:t>
            </w:r>
          </w:p>
        </w:tc>
        <w:tc>
          <w:tcPr>
            <w:tcW w:w="1990" w:type="pct"/>
          </w:tcPr>
          <w:p w:rsidR="00213531" w:rsidRPr="001763AE" w:rsidRDefault="00213531" w:rsidP="00EA7CFE">
            <w:r w:rsidRPr="001763AE">
              <w:t>ML</w:t>
            </w:r>
          </w:p>
        </w:tc>
      </w:tr>
      <w:tr w:rsidR="00213531" w:rsidRPr="001763AE" w:rsidTr="00EA7CFE">
        <w:tc>
          <w:tcPr>
            <w:tcW w:w="3010" w:type="pct"/>
          </w:tcPr>
          <w:p w:rsidR="00213531" w:rsidRPr="001763AE" w:rsidRDefault="00213531" w:rsidP="00EA7CFE">
            <w:r w:rsidRPr="001763AE">
              <w:tab/>
              <w:t>Socio economic risks</w:t>
            </w:r>
          </w:p>
        </w:tc>
        <w:tc>
          <w:tcPr>
            <w:tcW w:w="1990" w:type="pct"/>
          </w:tcPr>
          <w:p w:rsidR="00213531" w:rsidRPr="001763AE" w:rsidRDefault="00213531" w:rsidP="00EA7CFE">
            <w:r w:rsidRPr="001763AE">
              <w:t>ML</w:t>
            </w:r>
          </w:p>
        </w:tc>
      </w:tr>
      <w:tr w:rsidR="00213531" w:rsidRPr="001763AE" w:rsidTr="00EA7CFE">
        <w:tc>
          <w:tcPr>
            <w:tcW w:w="3010" w:type="pct"/>
          </w:tcPr>
          <w:p w:rsidR="00213531" w:rsidRPr="001763AE" w:rsidRDefault="00213531" w:rsidP="00EA7CFE">
            <w:r w:rsidRPr="001763AE">
              <w:tab/>
              <w:t>Institutional framework and governance risks</w:t>
            </w:r>
          </w:p>
        </w:tc>
        <w:tc>
          <w:tcPr>
            <w:tcW w:w="1990" w:type="pct"/>
          </w:tcPr>
          <w:p w:rsidR="00213531" w:rsidRPr="001763AE" w:rsidRDefault="00213531" w:rsidP="00EA7CFE">
            <w:r>
              <w:t>MU</w:t>
            </w:r>
          </w:p>
        </w:tc>
      </w:tr>
      <w:tr w:rsidR="00213531" w:rsidRPr="001763AE" w:rsidTr="00EA7CFE">
        <w:tc>
          <w:tcPr>
            <w:tcW w:w="3010" w:type="pct"/>
          </w:tcPr>
          <w:p w:rsidR="00213531" w:rsidRPr="001763AE" w:rsidRDefault="00213531" w:rsidP="00EA7CFE">
            <w:r w:rsidRPr="001763AE">
              <w:tab/>
              <w:t>Environmental risks</w:t>
            </w:r>
          </w:p>
        </w:tc>
        <w:tc>
          <w:tcPr>
            <w:tcW w:w="1990" w:type="pct"/>
          </w:tcPr>
          <w:p w:rsidR="00213531" w:rsidRPr="001763AE" w:rsidRDefault="00213531" w:rsidP="00EA7CFE">
            <w:r w:rsidRPr="001763AE">
              <w:t>ML</w:t>
            </w:r>
          </w:p>
        </w:tc>
      </w:tr>
      <w:tr w:rsidR="00213531" w:rsidRPr="001763AE" w:rsidTr="00EA7CFE">
        <w:tc>
          <w:tcPr>
            <w:tcW w:w="3010" w:type="pct"/>
          </w:tcPr>
          <w:p w:rsidR="00213531" w:rsidRPr="001763AE" w:rsidRDefault="00213531" w:rsidP="00EA7CFE">
            <w:r w:rsidRPr="001763AE">
              <w:t>Impact</w:t>
            </w:r>
          </w:p>
        </w:tc>
        <w:tc>
          <w:tcPr>
            <w:tcW w:w="1990" w:type="pct"/>
          </w:tcPr>
          <w:p w:rsidR="00213531" w:rsidRPr="001763AE" w:rsidRDefault="00213531" w:rsidP="00EA7CFE">
            <w:r w:rsidRPr="001763AE">
              <w:t>Unable to assess</w:t>
            </w:r>
          </w:p>
        </w:tc>
      </w:tr>
      <w:tr w:rsidR="00213531" w:rsidRPr="001763AE" w:rsidTr="00EA7CFE">
        <w:trPr>
          <w:trHeight w:val="1494"/>
        </w:trPr>
        <w:tc>
          <w:tcPr>
            <w:tcW w:w="5000" w:type="pct"/>
            <w:gridSpan w:val="2"/>
          </w:tcPr>
          <w:p w:rsidR="00213531" w:rsidRPr="001763AE" w:rsidRDefault="00213531" w:rsidP="00EA7CFE">
            <w:pPr>
              <w:jc w:val="center"/>
              <w:rPr>
                <w:b/>
              </w:rPr>
            </w:pPr>
            <w:r w:rsidRPr="001763AE">
              <w:rPr>
                <w:b/>
              </w:rPr>
              <w:t>Rating scales used</w:t>
            </w:r>
          </w:p>
          <w:p w:rsidR="00213531" w:rsidRPr="001763AE" w:rsidRDefault="00213531" w:rsidP="00EA7CFE">
            <w:pPr>
              <w:rPr>
                <w:szCs w:val="20"/>
              </w:rPr>
            </w:pPr>
            <w:r w:rsidRPr="001763AE">
              <w:rPr>
                <w:b/>
              </w:rPr>
              <w:t>*</w:t>
            </w:r>
            <w:r w:rsidRPr="001763AE">
              <w:rPr>
                <w:b/>
              </w:rPr>
              <w:tab/>
            </w:r>
            <w:r w:rsidRPr="001763AE">
              <w:rPr>
                <w:szCs w:val="20"/>
              </w:rPr>
              <w:t xml:space="preserve">Highly Satisfactory (HS): no shortcomings; Satisfactory (S): minor shortcomings; Moderately Satisfactory (MS): moderate shortcomings; Moderately unsatisfactory (MU): significant shortcomings; Unsatisfactory (U):  major </w:t>
            </w:r>
            <w:r w:rsidR="00BE4C65" w:rsidRPr="001763AE">
              <w:rPr>
                <w:szCs w:val="20"/>
              </w:rPr>
              <w:t>shortcomings;</w:t>
            </w:r>
            <w:r w:rsidRPr="001763AE">
              <w:rPr>
                <w:szCs w:val="20"/>
              </w:rPr>
              <w:t xml:space="preserve"> Highly Unsatisfactory (HU) Severe shortcomings.</w:t>
            </w:r>
          </w:p>
          <w:p w:rsidR="00213531" w:rsidRPr="001763AE" w:rsidRDefault="00213531" w:rsidP="00EA7CFE">
            <w:pPr>
              <w:rPr>
                <w:szCs w:val="20"/>
              </w:rPr>
            </w:pPr>
            <w:r w:rsidRPr="001763AE">
              <w:rPr>
                <w:szCs w:val="20"/>
              </w:rPr>
              <w:t>*</w:t>
            </w:r>
            <w:r w:rsidR="00BE4C65" w:rsidRPr="001763AE">
              <w:rPr>
                <w:szCs w:val="20"/>
              </w:rPr>
              <w:t>* Relevant</w:t>
            </w:r>
            <w:r w:rsidRPr="001763AE">
              <w:rPr>
                <w:szCs w:val="20"/>
              </w:rPr>
              <w:t xml:space="preserve"> (R); Not relevant (NR).</w:t>
            </w:r>
          </w:p>
          <w:p w:rsidR="00213531" w:rsidRPr="001763AE" w:rsidRDefault="00213531" w:rsidP="00EA7CFE">
            <w:pPr>
              <w:rPr>
                <w:szCs w:val="20"/>
              </w:rPr>
            </w:pPr>
            <w:r w:rsidRPr="001763AE">
              <w:rPr>
                <w:szCs w:val="20"/>
              </w:rPr>
              <w:t>**</w:t>
            </w:r>
            <w:r w:rsidR="00BE4C65" w:rsidRPr="001763AE">
              <w:rPr>
                <w:szCs w:val="20"/>
              </w:rPr>
              <w:t>* Likely</w:t>
            </w:r>
            <w:r w:rsidRPr="001763AE">
              <w:rPr>
                <w:szCs w:val="20"/>
              </w:rPr>
              <w:t xml:space="preserve"> (L): negligible risks to sustainability. Moderately Likely (ML)</w:t>
            </w:r>
            <w:r w:rsidR="00BE4C65" w:rsidRPr="001763AE">
              <w:rPr>
                <w:szCs w:val="20"/>
              </w:rPr>
              <w:t>: moderate</w:t>
            </w:r>
            <w:r w:rsidRPr="001763AE">
              <w:rPr>
                <w:szCs w:val="20"/>
              </w:rPr>
              <w:t xml:space="preserve"> risks to sustainability. Moderately Unlikely (MU): significant risks to sustainability. Unlikely (U): severe risks to sustainability.</w:t>
            </w:r>
          </w:p>
        </w:tc>
      </w:tr>
    </w:tbl>
    <w:p w:rsidR="000E3CD5" w:rsidRPr="001763AE" w:rsidRDefault="000E3CD5" w:rsidP="00F619A8">
      <w:pPr>
        <w:pStyle w:val="Heading2"/>
        <w:numPr>
          <w:ilvl w:val="0"/>
          <w:numId w:val="0"/>
        </w:numPr>
      </w:pPr>
      <w:bookmarkStart w:id="6" w:name="_Toc396725196"/>
      <w:r w:rsidRPr="001763AE">
        <w:t>Summary of conclusio</w:t>
      </w:r>
      <w:r w:rsidR="00FF2106" w:rsidRPr="001763AE">
        <w:t>ns, recommendations and les</w:t>
      </w:r>
      <w:r w:rsidR="00F619A8" w:rsidRPr="001763AE">
        <w:t>sons</w:t>
      </w:r>
      <w:bookmarkEnd w:id="6"/>
    </w:p>
    <w:p w:rsidR="00C06238" w:rsidRDefault="00C06238" w:rsidP="00235F76">
      <w:pPr>
        <w:pStyle w:val="NumberedPara"/>
        <w:numPr>
          <w:ilvl w:val="0"/>
          <w:numId w:val="0"/>
        </w:numPr>
      </w:pPr>
      <w:r>
        <w:t xml:space="preserve">The overall objective of this project was </w:t>
      </w:r>
      <w:r w:rsidRPr="001763AE">
        <w:t>‘</w:t>
      </w:r>
      <w:r w:rsidRPr="00980D1B">
        <w:rPr>
          <w:i/>
        </w:rPr>
        <w:t>To secure the financial sustainability of Romania’s Carpathian network of PAs, as a model for replication to the entire Carpathian Network of Protected Areas (CNPA)</w:t>
      </w:r>
      <w:r w:rsidRPr="001763AE">
        <w:t>’</w:t>
      </w:r>
      <w:r>
        <w:t xml:space="preserve">. </w:t>
      </w:r>
      <w:r w:rsidR="00EA7CFE">
        <w:t>Based on a strict assessment of the outcomes, outputs and s</w:t>
      </w:r>
      <w:r w:rsidR="001818A3">
        <w:t xml:space="preserve">pecifically the targets </w:t>
      </w:r>
      <w:r w:rsidR="00EA7CFE">
        <w:t>set for the project, it has fallen well short of what was expected. However</w:t>
      </w:r>
      <w:r w:rsidR="00820047">
        <w:t>,</w:t>
      </w:r>
      <w:r w:rsidR="00EA7CFE">
        <w:t xml:space="preserve"> t</w:t>
      </w:r>
      <w:r>
        <w:t xml:space="preserve">he overall evaluation </w:t>
      </w:r>
      <w:r w:rsidR="00EA7CFE">
        <w:t xml:space="preserve">of this project is that it has in many respects been successful, with moderate shortcomings and is therefore assessed to be </w:t>
      </w:r>
      <w:r w:rsidRPr="00AE4371">
        <w:rPr>
          <w:b/>
        </w:rPr>
        <w:t>Moderately Satisfactory</w:t>
      </w:r>
      <w:r w:rsidR="00EA7CFE">
        <w:rPr>
          <w:b/>
        </w:rPr>
        <w:t xml:space="preserve"> (MS).</w:t>
      </w:r>
      <w:r>
        <w:t xml:space="preserve"> </w:t>
      </w:r>
      <w:r w:rsidR="006824C5">
        <w:t>The achievements and shortcomings of the project and the mitigating factors considered are elaborated below.</w:t>
      </w:r>
    </w:p>
    <w:p w:rsidR="0025256D" w:rsidRDefault="00FF2106" w:rsidP="00235F76">
      <w:pPr>
        <w:pStyle w:val="NumberedPara"/>
        <w:numPr>
          <w:ilvl w:val="0"/>
          <w:numId w:val="0"/>
        </w:numPr>
      </w:pPr>
      <w:r w:rsidRPr="001763AE">
        <w:t>This has been an important project</w:t>
      </w:r>
      <w:r w:rsidR="00820047">
        <w:t>,</w:t>
      </w:r>
      <w:r w:rsidRPr="001763AE">
        <w:t xml:space="preserve"> breaking new ground and </w:t>
      </w:r>
      <w:r w:rsidR="00F26A5F">
        <w:t xml:space="preserve">using innovative approaches to address directly </w:t>
      </w:r>
      <w:r w:rsidRPr="001763AE">
        <w:t xml:space="preserve">the perennial issue of ‘paying for parks’, which </w:t>
      </w:r>
      <w:r w:rsidR="00F26A5F">
        <w:t>previously h</w:t>
      </w:r>
      <w:r w:rsidRPr="001763AE">
        <w:t xml:space="preserve">as only been subcomponent </w:t>
      </w:r>
      <w:r w:rsidR="00F26A5F">
        <w:t xml:space="preserve">of </w:t>
      </w:r>
      <w:r w:rsidR="00213531">
        <w:t>protec</w:t>
      </w:r>
      <w:r w:rsidR="00F26A5F">
        <w:t xml:space="preserve">ted area </w:t>
      </w:r>
      <w:r w:rsidR="006824C5">
        <w:lastRenderedPageBreak/>
        <w:t xml:space="preserve">projects </w:t>
      </w:r>
      <w:r w:rsidR="00F26A5F">
        <w:t xml:space="preserve">in the </w:t>
      </w:r>
      <w:r w:rsidR="006824C5">
        <w:t xml:space="preserve">Europe and CIS </w:t>
      </w:r>
      <w:r w:rsidR="00F26A5F">
        <w:t>region</w:t>
      </w:r>
      <w:r w:rsidR="00213531">
        <w:t>. Consequently</w:t>
      </w:r>
      <w:r w:rsidR="00F26A5F">
        <w:t xml:space="preserve"> and inevitably</w:t>
      </w:r>
      <w:r w:rsidR="00213531">
        <w:t>,</w:t>
      </w:r>
      <w:r w:rsidR="00F26A5F">
        <w:t xml:space="preserve"> the project relied on approaches that were to some extent experimental. However</w:t>
      </w:r>
      <w:r w:rsidR="00820047">
        <w:t>,</w:t>
      </w:r>
      <w:r w:rsidR="00364D6D">
        <w:t xml:space="preserve"> the expectations </w:t>
      </w:r>
      <w:r w:rsidR="00820047">
        <w:t xml:space="preserve">of the project </w:t>
      </w:r>
      <w:r w:rsidR="00364D6D">
        <w:t xml:space="preserve">in terms of </w:t>
      </w:r>
      <w:r w:rsidR="00F26A5F">
        <w:t xml:space="preserve">outcomes and targets were </w:t>
      </w:r>
      <w:r w:rsidR="00CE6496">
        <w:t xml:space="preserve">high, partly because </w:t>
      </w:r>
      <w:r w:rsidR="00820047">
        <w:t>it</w:t>
      </w:r>
      <w:r w:rsidR="00364D6D">
        <w:t xml:space="preserve"> was </w:t>
      </w:r>
      <w:r w:rsidR="00CE6496">
        <w:t>designed</w:t>
      </w:r>
      <w:r w:rsidR="00B94FEC">
        <w:t xml:space="preserve"> during a</w:t>
      </w:r>
      <w:r w:rsidR="00364D6D">
        <w:t xml:space="preserve"> period of relative political stability and economic optimism in Romania</w:t>
      </w:r>
      <w:r w:rsidR="00CE6496">
        <w:t>. Given its experimental nature</w:t>
      </w:r>
      <w:r w:rsidR="006824C5">
        <w:t>,</w:t>
      </w:r>
      <w:r w:rsidR="00CE6496">
        <w:t xml:space="preserve"> </w:t>
      </w:r>
      <w:r w:rsidR="00364D6D">
        <w:t xml:space="preserve">the project would have benefited from a more cautious approach, from much more careful attention to target setting and to identifying </w:t>
      </w:r>
      <w:r w:rsidR="00CE6496">
        <w:t xml:space="preserve">less coarse, more </w:t>
      </w:r>
      <w:r w:rsidR="00364D6D">
        <w:t xml:space="preserve">specific indicators </w:t>
      </w:r>
      <w:r w:rsidR="00CE6496">
        <w:t xml:space="preserve">and </w:t>
      </w:r>
      <w:r w:rsidR="00364D6D">
        <w:t>measurable</w:t>
      </w:r>
      <w:r w:rsidR="00CE6496">
        <w:t xml:space="preserve">s that would have enabled positive achievements to be more readily </w:t>
      </w:r>
      <w:r w:rsidR="0036712C">
        <w:t>identified where implementation ran into problems.</w:t>
      </w:r>
      <w:r w:rsidR="00820047">
        <w:t xml:space="preserve"> It would have also benefitted from </w:t>
      </w:r>
      <w:r w:rsidR="00C908B6">
        <w:t xml:space="preserve">inclusion </w:t>
      </w:r>
      <w:r w:rsidR="00B94FEC">
        <w:t xml:space="preserve">of alternative approaches that </w:t>
      </w:r>
      <w:r w:rsidR="00C908B6">
        <w:t>were not so reliant on major central changes in law and policy (which can never be assumed).</w:t>
      </w:r>
    </w:p>
    <w:p w:rsidR="0036712C" w:rsidRDefault="006824C5" w:rsidP="00235F76">
      <w:pPr>
        <w:pStyle w:val="NumberedPara"/>
        <w:numPr>
          <w:ilvl w:val="0"/>
          <w:numId w:val="0"/>
        </w:numPr>
      </w:pPr>
      <w:r>
        <w:t>A</w:t>
      </w:r>
      <w:r w:rsidR="0036712C">
        <w:t xml:space="preserve">chievement of project objectives </w:t>
      </w:r>
      <w:r w:rsidR="00D145C6">
        <w:t xml:space="preserve">was significantly hampered by the impact of the global financial crisis on Romania, which prevented increases in direct funding for protected areas, and also by </w:t>
      </w:r>
      <w:r w:rsidR="00203261">
        <w:t xml:space="preserve">political </w:t>
      </w:r>
      <w:r>
        <w:t>shifts</w:t>
      </w:r>
      <w:r w:rsidR="00203261">
        <w:t xml:space="preserve">, institutional </w:t>
      </w:r>
      <w:r w:rsidR="00BE4C65">
        <w:t>reorganisations,</w:t>
      </w:r>
      <w:r w:rsidR="00203261">
        <w:t xml:space="preserve"> and </w:t>
      </w:r>
      <w:r w:rsidR="00D145C6">
        <w:t xml:space="preserve">regular changes in the </w:t>
      </w:r>
      <w:r w:rsidR="00CE6496">
        <w:t xml:space="preserve">senior level </w:t>
      </w:r>
      <w:r w:rsidR="00D145C6">
        <w:t>personnel responsible for implementation.</w:t>
      </w:r>
      <w:r>
        <w:t xml:space="preserve"> These factors made implementation and development of high-level support and momentum for the project </w:t>
      </w:r>
      <w:r w:rsidR="00C908B6">
        <w:t>particularly</w:t>
      </w:r>
      <w:r>
        <w:t xml:space="preserve"> challenging.</w:t>
      </w:r>
      <w:r w:rsidR="00670B44">
        <w:t xml:space="preserve"> The greatest impact was on the Ministry of Environment and Climate Change (MoECC), which was officially the </w:t>
      </w:r>
      <w:r w:rsidR="00670B44" w:rsidRPr="001763AE">
        <w:t>Designated Institution (DI) responsible for project implementation</w:t>
      </w:r>
      <w:r w:rsidR="00C908B6">
        <w:t>,</w:t>
      </w:r>
      <w:r w:rsidR="00670B44">
        <w:t xml:space="preserve"> and which was also a critical ‘gatekeeper’ for approval of many of the new funding mechanisms proposed by the project. While the financial crisis made increased long term direct funding from the central budget of the MoECC unfeasible, many of the </w:t>
      </w:r>
      <w:r w:rsidR="00AF4EDC">
        <w:t xml:space="preserve">project’s </w:t>
      </w:r>
      <w:r w:rsidR="00670B44">
        <w:t xml:space="preserve">proposals </w:t>
      </w:r>
      <w:r w:rsidR="00AF4EDC">
        <w:t xml:space="preserve">focused on </w:t>
      </w:r>
      <w:r w:rsidR="00670B44">
        <w:t>new sources of funding (mainly mechanisms for payments fo</w:t>
      </w:r>
      <w:r w:rsidR="00AF4EDC">
        <w:t>r ecosystem services). Even given the difficulties, more could have been expected of the MoECC as an Executing Agency in supporting these measures.</w:t>
      </w:r>
    </w:p>
    <w:p w:rsidR="0025256D" w:rsidRDefault="00AF4EDC" w:rsidP="00235F76">
      <w:pPr>
        <w:pStyle w:val="NumberedPara"/>
        <w:numPr>
          <w:ilvl w:val="0"/>
          <w:numId w:val="0"/>
        </w:numPr>
      </w:pPr>
      <w:r>
        <w:t>Day to day implementation of the project was led by a team within the N</w:t>
      </w:r>
      <w:r w:rsidR="001818A3">
        <w:t xml:space="preserve">ational Forestry Administration (the designated Implementation Partner), which was generally effective and efficient in its work; most </w:t>
      </w:r>
      <w:r w:rsidR="00A91B45">
        <w:t xml:space="preserve">of </w:t>
      </w:r>
      <w:r w:rsidR="001818A3">
        <w:t xml:space="preserve">the activities conducted under Outcome 2 were focused on five pilot protected areas administered </w:t>
      </w:r>
      <w:r w:rsidR="00A91B45">
        <w:t xml:space="preserve">by the NFA, ensuring particularly efficient implementation of the </w:t>
      </w:r>
      <w:r w:rsidR="00C908B6">
        <w:t>site-</w:t>
      </w:r>
      <w:r w:rsidR="00A91B45">
        <w:t>based elements of the project.</w:t>
      </w:r>
    </w:p>
    <w:p w:rsidR="00F37F8D" w:rsidRDefault="00F37F8D" w:rsidP="00235F76">
      <w:pPr>
        <w:pStyle w:val="NumberedPara"/>
        <w:numPr>
          <w:ilvl w:val="0"/>
          <w:numId w:val="0"/>
        </w:numPr>
      </w:pPr>
      <w:r w:rsidRPr="001763AE">
        <w:t xml:space="preserve">The team at the UNDP Country Office (and subsequent Project Management Office) </w:t>
      </w:r>
      <w:r>
        <w:t xml:space="preserve">provided excellent support in </w:t>
      </w:r>
      <w:r w:rsidRPr="001763AE">
        <w:t>in overseeing, supporting and where necessary, guiding project implementation</w:t>
      </w:r>
      <w:r>
        <w:t xml:space="preserve">, and in working to secure and maintain high-level support for the project. </w:t>
      </w:r>
      <w:r w:rsidRPr="001763AE">
        <w:t>UNDP personnel promoted a</w:t>
      </w:r>
      <w:r w:rsidR="00C908B6">
        <w:t>n inclusive and</w:t>
      </w:r>
      <w:r w:rsidRPr="001763AE">
        <w:t xml:space="preserve"> collegiate culture among all those involved in implementation, keeping them informed, enabling their participation in meetings and encouraging communication and interaction between them</w:t>
      </w:r>
      <w:r>
        <w:t>.</w:t>
      </w:r>
    </w:p>
    <w:p w:rsidR="0025256D" w:rsidRDefault="00A91B45" w:rsidP="00235F76">
      <w:pPr>
        <w:pStyle w:val="NumberedPara"/>
        <w:numPr>
          <w:ilvl w:val="0"/>
          <w:numId w:val="0"/>
        </w:numPr>
      </w:pPr>
      <w:r w:rsidRPr="001763AE">
        <w:t xml:space="preserve">The project team has had to adapt to many difficulties beyond its control, notably the impacts of the global financial crisis, government changes and </w:t>
      </w:r>
      <w:r w:rsidR="0012527B">
        <w:t>regular</w:t>
      </w:r>
      <w:r w:rsidRPr="001763AE">
        <w:t xml:space="preserve"> reassignments of senior officials. Some of these problems might have been better overcome had the MoECC been more closely bound into the administration and supervision of the project, as the engagement and ‘ownership’ of the Ministry declined in the second half of the project.</w:t>
      </w:r>
    </w:p>
    <w:p w:rsidR="008F3D21" w:rsidRDefault="0012527B" w:rsidP="00235F76">
      <w:pPr>
        <w:pStyle w:val="NumberedPara"/>
        <w:numPr>
          <w:ilvl w:val="0"/>
          <w:numId w:val="0"/>
        </w:numPr>
      </w:pPr>
      <w:r>
        <w:t>In working to overcome the difficulties it was encountering, t</w:t>
      </w:r>
      <w:r w:rsidR="008F3D21" w:rsidRPr="001763AE">
        <w:t xml:space="preserve">he project might usefully have taken more into consideration the advice coming from several quarters to diversify its rather </w:t>
      </w:r>
      <w:r>
        <w:t>centralised</w:t>
      </w:r>
      <w:r w:rsidR="008F3D21" w:rsidRPr="001763AE">
        <w:t xml:space="preserve"> approach</w:t>
      </w:r>
      <w:r>
        <w:t xml:space="preserve">, to work more with local authorities and to </w:t>
      </w:r>
      <w:r w:rsidR="008F3D21" w:rsidRPr="001763AE">
        <w:t>incl</w:t>
      </w:r>
      <w:r>
        <w:t xml:space="preserve">ude initiatives for local sustainable development linked to protected areas (alongside </w:t>
      </w:r>
      <w:r w:rsidR="00096CFB">
        <w:t xml:space="preserve">the existing </w:t>
      </w:r>
      <w:r>
        <w:t xml:space="preserve">measures for increasing the direct income of PAs). This could have reduced reliance on central </w:t>
      </w:r>
      <w:r w:rsidR="00096CFB">
        <w:t xml:space="preserve">systems and </w:t>
      </w:r>
      <w:r>
        <w:t xml:space="preserve">decision </w:t>
      </w:r>
      <w:r w:rsidR="00096CFB">
        <w:t>makers, promoted durable locally owned solutions and helped to build local support for protected areas.</w:t>
      </w:r>
    </w:p>
    <w:p w:rsidR="00D81829" w:rsidRDefault="00D81829" w:rsidP="00235F76">
      <w:pPr>
        <w:pStyle w:val="NumberedPara"/>
        <w:numPr>
          <w:ilvl w:val="0"/>
          <w:numId w:val="0"/>
        </w:numPr>
      </w:pPr>
      <w:r>
        <w:t xml:space="preserve">The mid-term evaluation </w:t>
      </w:r>
      <w:r w:rsidR="00F6756E">
        <w:t>(MTE)</w:t>
      </w:r>
      <w:r>
        <w:t xml:space="preserve"> provided a significant opportunity to take stock of the challenges faced by the project and to retune the project in order to focus on what was achievable, to develop new strategies for achieving the project outcomes and to</w:t>
      </w:r>
      <w:r w:rsidR="00EB75ED">
        <w:t xml:space="preserve"> modify indicators and targets in line with what was achievable. However</w:t>
      </w:r>
      <w:r w:rsidR="00F6756E">
        <w:t>,</w:t>
      </w:r>
      <w:r w:rsidR="00EB75ED">
        <w:t xml:space="preserve"> the recommendations of the MTE </w:t>
      </w:r>
      <w:r w:rsidR="00A30DDC">
        <w:t>largely concerned redoubling existing efforts to implement the project in its current form.</w:t>
      </w:r>
    </w:p>
    <w:p w:rsidR="00A30DDC" w:rsidRDefault="00A30DDC" w:rsidP="00235F76">
      <w:pPr>
        <w:pStyle w:val="NumberedPara"/>
        <w:numPr>
          <w:ilvl w:val="0"/>
          <w:numId w:val="0"/>
        </w:numPr>
      </w:pPr>
      <w:r>
        <w:t>Under Outcome 1, t</w:t>
      </w:r>
      <w:r w:rsidRPr="001763AE">
        <w:t xml:space="preserve">he </w:t>
      </w:r>
      <w:r w:rsidRPr="0019393D">
        <w:t xml:space="preserve">anticipated </w:t>
      </w:r>
      <w:r>
        <w:t xml:space="preserve">modification of the </w:t>
      </w:r>
      <w:r w:rsidRPr="0019393D">
        <w:t xml:space="preserve">legal framework </w:t>
      </w:r>
      <w:r>
        <w:t>to</w:t>
      </w:r>
      <w:r w:rsidRPr="001763AE">
        <w:t xml:space="preserve"> enable committed central funding for protected areas has not succeeded, and therefore no n</w:t>
      </w:r>
      <w:r w:rsidR="00F6756E">
        <w:t>ew flow of long-</w:t>
      </w:r>
      <w:r w:rsidRPr="001763AE">
        <w:t xml:space="preserve">term funds has been established, despite </w:t>
      </w:r>
      <w:r w:rsidR="00B94FEC">
        <w:t>elaboration of well-</w:t>
      </w:r>
      <w:r w:rsidR="00F6756E">
        <w:t xml:space="preserve">justified studies and proposals for a </w:t>
      </w:r>
      <w:r w:rsidRPr="001763AE">
        <w:t xml:space="preserve">range of options for sustainable financing. </w:t>
      </w:r>
      <w:r>
        <w:t xml:space="preserve">While increased direct funding from the State budget was unfeasible after the financial crisis started, more progress </w:t>
      </w:r>
      <w:r w:rsidR="00C436B4">
        <w:t xml:space="preserve">could have been expected with </w:t>
      </w:r>
      <w:r w:rsidR="0025256D">
        <w:t>the measures for generating</w:t>
      </w:r>
      <w:r>
        <w:t xml:space="preserve"> new funding through PES and for using the National Envi</w:t>
      </w:r>
      <w:r w:rsidR="00C436B4">
        <w:t>ronment</w:t>
      </w:r>
      <w:r>
        <w:t xml:space="preserve"> Fund as a conduit for </w:t>
      </w:r>
      <w:r w:rsidR="00C436B4">
        <w:t>the new funding, since these had the potential to ease rather than increase the financial pressures on the Ministry.</w:t>
      </w:r>
      <w:r w:rsidR="00B042C3">
        <w:t xml:space="preserve"> </w:t>
      </w:r>
      <w:r w:rsidR="00096CFB">
        <w:t xml:space="preserve">These </w:t>
      </w:r>
      <w:r w:rsidR="00B042C3">
        <w:t xml:space="preserve">major </w:t>
      </w:r>
      <w:r w:rsidR="00096CFB">
        <w:t>shortcomings have been partially offset by</w:t>
      </w:r>
      <w:r w:rsidR="00B042C3">
        <w:t xml:space="preserve"> two </w:t>
      </w:r>
      <w:r w:rsidR="00B042C3">
        <w:lastRenderedPageBreak/>
        <w:t>factors. First</w:t>
      </w:r>
      <w:r w:rsidR="00F6756E">
        <w:t>,</w:t>
      </w:r>
      <w:r w:rsidR="00B042C3">
        <w:t xml:space="preserve"> </w:t>
      </w:r>
      <w:r w:rsidR="00F6756E">
        <w:t>t</w:t>
      </w:r>
      <w:r w:rsidR="00B042C3">
        <w:t xml:space="preserve">here is better potential for mobilisation of new funds through proposed amendments to the Forest Code that would allow </w:t>
      </w:r>
      <w:r w:rsidR="00126D8D">
        <w:t>payments for ecosystem services (</w:t>
      </w:r>
      <w:r w:rsidR="00B042C3">
        <w:t>PES</w:t>
      </w:r>
      <w:r w:rsidR="00126D8D">
        <w:t>)</w:t>
      </w:r>
      <w:r w:rsidR="00B042C3">
        <w:t xml:space="preserve"> based on watershed protection services, </w:t>
      </w:r>
      <w:r w:rsidR="00F6756E">
        <w:t xml:space="preserve">providing new funds to </w:t>
      </w:r>
      <w:r w:rsidR="00B042C3">
        <w:t>help compensate owners of private forests in protected areas. The amended Forest Code is awaiting approval</w:t>
      </w:r>
      <w:r w:rsidR="00F6756E">
        <w:t xml:space="preserve">. Second, </w:t>
      </w:r>
      <w:r w:rsidR="00096CFB">
        <w:t xml:space="preserve">the </w:t>
      </w:r>
      <w:r w:rsidRPr="001763AE">
        <w:t xml:space="preserve">project </w:t>
      </w:r>
      <w:r w:rsidR="00126D8D">
        <w:t xml:space="preserve">has been successful </w:t>
      </w:r>
      <w:r w:rsidRPr="001763AE">
        <w:t xml:space="preserve">in </w:t>
      </w:r>
      <w:r w:rsidR="00096CFB">
        <w:t xml:space="preserve">securing legal changes </w:t>
      </w:r>
      <w:r w:rsidR="00B042C3">
        <w:t>that have enabled provision of</w:t>
      </w:r>
      <w:r w:rsidR="00B042C3" w:rsidRPr="001763AE">
        <w:t xml:space="preserve"> significant support from the MoECC (through co-financing and VAT subsidies) totalling over $4.5 million for the implementation of 27 </w:t>
      </w:r>
      <w:r w:rsidR="00126D8D">
        <w:t>EU funded</w:t>
      </w:r>
      <w:r w:rsidR="00B042C3">
        <w:t xml:space="preserve"> </w:t>
      </w:r>
      <w:r w:rsidR="00B042C3" w:rsidRPr="001763AE">
        <w:t>SOP projects from 2010-2014</w:t>
      </w:r>
      <w:r w:rsidR="00B042C3">
        <w:t xml:space="preserve">, and </w:t>
      </w:r>
      <w:r w:rsidR="00126D8D">
        <w:t xml:space="preserve">that have </w:t>
      </w:r>
      <w:r w:rsidR="00B042C3">
        <w:t>ensured future similar support up to 2020</w:t>
      </w:r>
      <w:r w:rsidR="00B042C3" w:rsidRPr="001763AE">
        <w:t>. This does n</w:t>
      </w:r>
      <w:r w:rsidR="00B042C3">
        <w:t>ot equate to the committed long-</w:t>
      </w:r>
      <w:r w:rsidR="00B042C3" w:rsidRPr="001763AE">
        <w:t>term central budget support envisaged by the project</w:t>
      </w:r>
      <w:r w:rsidR="00B042C3">
        <w:t>,</w:t>
      </w:r>
      <w:r w:rsidR="0025256D">
        <w:t xml:space="preserve"> but</w:t>
      </w:r>
      <w:r w:rsidR="00B042C3">
        <w:t xml:space="preserve"> </w:t>
      </w:r>
      <w:r w:rsidR="00B042C3" w:rsidRPr="001763AE">
        <w:t xml:space="preserve">it has provided an important short to medium term </w:t>
      </w:r>
      <w:r w:rsidR="00B042C3">
        <w:t xml:space="preserve">partial </w:t>
      </w:r>
      <w:r w:rsidR="00B042C3" w:rsidRPr="001763AE">
        <w:t>solution (at least up to 2</w:t>
      </w:r>
      <w:r w:rsidR="00B042C3">
        <w:t>020) to the PA funding problem</w:t>
      </w:r>
      <w:r w:rsidR="00F6756E">
        <w:t>,</w:t>
      </w:r>
      <w:r w:rsidR="00B042C3">
        <w:t xml:space="preserve"> and </w:t>
      </w:r>
      <w:r w:rsidR="00F6756E">
        <w:t xml:space="preserve">has </w:t>
      </w:r>
      <w:r w:rsidR="00B042C3">
        <w:t>partially contributed to reducing the funding gap.</w:t>
      </w:r>
    </w:p>
    <w:p w:rsidR="0025256D" w:rsidRDefault="00FF2106" w:rsidP="00235F76">
      <w:pPr>
        <w:pStyle w:val="NumberedPara"/>
        <w:numPr>
          <w:ilvl w:val="0"/>
          <w:numId w:val="0"/>
        </w:numPr>
      </w:pPr>
      <w:r w:rsidRPr="001763AE">
        <w:t xml:space="preserve">Several important accomplishments </w:t>
      </w:r>
      <w:r w:rsidR="00EB75ED">
        <w:t>were made under Outcome 2. I</w:t>
      </w:r>
      <w:r w:rsidR="00C45E63">
        <w:t>ndividual c</w:t>
      </w:r>
      <w:r w:rsidR="00F05FDC" w:rsidRPr="001763AE">
        <w:t xml:space="preserve">apacities have been developed </w:t>
      </w:r>
      <w:r w:rsidR="00D145C6">
        <w:t>through a training programme</w:t>
      </w:r>
      <w:r w:rsidR="00A10985">
        <w:t xml:space="preserve"> on sustainable financial management of protected areas</w:t>
      </w:r>
      <w:r w:rsidR="00EB75ED">
        <w:t>, supported by an online e-Platform for self-</w:t>
      </w:r>
      <w:r w:rsidR="00A10985">
        <w:t xml:space="preserve">directed learning. </w:t>
      </w:r>
      <w:r w:rsidR="00EB75ED">
        <w:t>An</w:t>
      </w:r>
      <w:r w:rsidR="00F05FDC" w:rsidRPr="001763AE">
        <w:t xml:space="preserve"> outstanding new online </w:t>
      </w:r>
      <w:r w:rsidRPr="001763AE">
        <w:t>Financial Management System</w:t>
      </w:r>
      <w:r w:rsidR="00F05FDC" w:rsidRPr="001763AE">
        <w:t xml:space="preserve"> </w:t>
      </w:r>
      <w:r w:rsidR="00EB75ED">
        <w:t xml:space="preserve">(FMS) </w:t>
      </w:r>
      <w:r w:rsidRPr="001763AE">
        <w:t xml:space="preserve">has enabled protected area directors to develop accurate budgets linked to conservation outcomes, and to record and monitor income, expenditure and performance in relation to their management plans. </w:t>
      </w:r>
      <w:r w:rsidR="00EB75ED">
        <w:t xml:space="preserve">The FMS has considerable potential for wider adaptation and adoption in PA systems in Europe and beyond. </w:t>
      </w:r>
      <w:r w:rsidR="0019393D">
        <w:t xml:space="preserve">Business plans have been developed for the </w:t>
      </w:r>
      <w:r w:rsidR="0019393D" w:rsidRPr="001763AE">
        <w:t>five pilot protected areas</w:t>
      </w:r>
      <w:r w:rsidR="0019393D">
        <w:t xml:space="preserve"> and implementation of these is underway.</w:t>
      </w:r>
      <w:r w:rsidR="00A10985">
        <w:t xml:space="preserve"> </w:t>
      </w:r>
      <w:r w:rsidR="0019393D">
        <w:t xml:space="preserve">Some protected area teams are now </w:t>
      </w:r>
      <w:r w:rsidR="0019393D" w:rsidRPr="001763AE">
        <w:t>establishing local funding partnerships and (in some ca</w:t>
      </w:r>
      <w:r w:rsidR="00A10985">
        <w:t>ses) introducing entrance fees</w:t>
      </w:r>
      <w:r w:rsidR="00E2271C">
        <w:t xml:space="preserve">, </w:t>
      </w:r>
      <w:r w:rsidR="0019393D" w:rsidRPr="001763AE">
        <w:t xml:space="preserve">but these achievements are </w:t>
      </w:r>
      <w:r w:rsidR="00A10985">
        <w:t>limited</w:t>
      </w:r>
      <w:r w:rsidR="0019393D" w:rsidRPr="001763AE">
        <w:t xml:space="preserve"> by </w:t>
      </w:r>
      <w:r w:rsidR="00A10985">
        <w:t xml:space="preserve">insufficient resources allocated to PA teams to implement the business plans </w:t>
      </w:r>
      <w:r w:rsidR="0025256D">
        <w:t>as well as</w:t>
      </w:r>
      <w:r w:rsidR="00A10985">
        <w:t xml:space="preserve"> fulfilling their existing duties. A more formal and transparent procedure is required for </w:t>
      </w:r>
      <w:r w:rsidR="0019393D" w:rsidRPr="001763AE">
        <w:t>use of money raised</w:t>
      </w:r>
      <w:r w:rsidR="00A10985">
        <w:t xml:space="preserve"> by protected areas, </w:t>
      </w:r>
      <w:r w:rsidR="00C45E63">
        <w:t xml:space="preserve">for the benefit of PA </w:t>
      </w:r>
      <w:r w:rsidR="00A30DDC">
        <w:t xml:space="preserve">administrations, </w:t>
      </w:r>
      <w:r w:rsidR="00C45E63">
        <w:t>funding partners an</w:t>
      </w:r>
      <w:r w:rsidR="00A30DDC">
        <w:t>d the wider public</w:t>
      </w:r>
      <w:r w:rsidR="0019393D" w:rsidRPr="001763AE">
        <w:t xml:space="preserve">. </w:t>
      </w:r>
      <w:r w:rsidR="00CB43AA">
        <w:t>Establishment of a new national protected areas association (also acting as the Secretariat of the Carpathian Network of Protected Areas</w:t>
      </w:r>
      <w:r w:rsidR="007D0CD0">
        <w:t>)</w:t>
      </w:r>
      <w:r w:rsidR="00CB43AA">
        <w:t xml:space="preserve"> has increased the likelihood of continuation of some of the project’s initiatives. </w:t>
      </w:r>
      <w:r w:rsidR="00A30DDC">
        <w:t xml:space="preserve">Despite its successes, </w:t>
      </w:r>
      <w:r w:rsidR="00CB43AA">
        <w:t xml:space="preserve">however </w:t>
      </w:r>
      <w:r w:rsidR="00A30DDC">
        <w:t>l</w:t>
      </w:r>
      <w:r w:rsidRPr="001763AE">
        <w:t xml:space="preserve">ong-term institutionalisation and sustainability of </w:t>
      </w:r>
      <w:r w:rsidR="00F6756E">
        <w:t xml:space="preserve">many of the </w:t>
      </w:r>
      <w:r w:rsidR="00F05FDC" w:rsidRPr="001763AE">
        <w:t>outputs from O</w:t>
      </w:r>
      <w:r w:rsidRPr="001763AE">
        <w:t>utcome</w:t>
      </w:r>
      <w:r w:rsidR="00F05FDC" w:rsidRPr="001763AE">
        <w:t xml:space="preserve"> 2</w:t>
      </w:r>
      <w:r w:rsidRPr="001763AE">
        <w:t xml:space="preserve"> is highly</w:t>
      </w:r>
      <w:r w:rsidR="00F05FDC" w:rsidRPr="001763AE">
        <w:t xml:space="preserve"> dependent on successful results from Outcome 1</w:t>
      </w:r>
      <w:r w:rsidRPr="001763AE">
        <w:t>, which</w:t>
      </w:r>
      <w:r w:rsidR="00A30DDC">
        <w:t>, as already documented</w:t>
      </w:r>
      <w:r w:rsidR="007D0CD0">
        <w:t>,</w:t>
      </w:r>
      <w:r w:rsidRPr="001763AE">
        <w:t xml:space="preserve"> </w:t>
      </w:r>
      <w:r w:rsidR="007D0CD0">
        <w:t xml:space="preserve">have been </w:t>
      </w:r>
      <w:r w:rsidR="00A30DDC">
        <w:t xml:space="preserve">more </w:t>
      </w:r>
      <w:r w:rsidR="00C92797" w:rsidRPr="001763AE">
        <w:t>limited.</w:t>
      </w:r>
    </w:p>
    <w:p w:rsidR="00B042C3" w:rsidRPr="001763AE" w:rsidRDefault="00B042C3" w:rsidP="00235F76">
      <w:pPr>
        <w:pStyle w:val="NumberedPara"/>
        <w:numPr>
          <w:ilvl w:val="0"/>
          <w:numId w:val="0"/>
        </w:numPr>
      </w:pPr>
      <w:r w:rsidRPr="001763AE">
        <w:t xml:space="preserve">The overall evaluation takes into consideration </w:t>
      </w:r>
      <w:r w:rsidR="0035368E">
        <w:t>the contrasting evaluations of O</w:t>
      </w:r>
      <w:r w:rsidRPr="001763AE">
        <w:t xml:space="preserve">utcomes </w:t>
      </w:r>
      <w:r w:rsidR="0035368E">
        <w:t>1</w:t>
      </w:r>
      <w:r w:rsidRPr="001763AE">
        <w:t xml:space="preserve"> and </w:t>
      </w:r>
      <w:r w:rsidR="0035368E">
        <w:t>2,</w:t>
      </w:r>
      <w:r w:rsidRPr="001763AE">
        <w:t xml:space="preserve"> and critically their contribution to the overall objective of the project and the likelihood of sustainability</w:t>
      </w:r>
      <w:r w:rsidR="00B37295">
        <w:t xml:space="preserve">. Major shortcomings in achieving some of the targets are in part offset by important achievements, and while the challenges encountered in the enabling environment of the project are also taken into consideration, they cannot be used to offset some of the shortcomings. </w:t>
      </w:r>
      <w:r w:rsidRPr="001763AE">
        <w:t>The evaluation is not a reflection of the considerable efforts and dedication of those involv</w:t>
      </w:r>
      <w:r w:rsidR="007D0CD0">
        <w:t>ed in implementing the project. N</w:t>
      </w:r>
      <w:r w:rsidR="00B37295">
        <w:t xml:space="preserve">or </w:t>
      </w:r>
      <w:r w:rsidRPr="001763AE">
        <w:t>should the evaluation result diminish the important progress made in changing how protected area budgeting and financing is conducted in Romania, in taking first steps towards solving the problem of financial sustainability and providing an essential foundation and for highly necessary future projects of the same type</w:t>
      </w:r>
      <w:r w:rsidR="00CB43AA">
        <w:t xml:space="preserve">. </w:t>
      </w:r>
      <w:r w:rsidRPr="001763AE">
        <w:t xml:space="preserve">In any process of discovery and </w:t>
      </w:r>
      <w:r w:rsidR="00BE4C65" w:rsidRPr="001763AE">
        <w:t>innovation,</w:t>
      </w:r>
      <w:r w:rsidRPr="001763AE">
        <w:t xml:space="preserve"> it is inevitable that early hypotheses will be flawed</w:t>
      </w:r>
      <w:r w:rsidR="00B37295">
        <w:t>, that unexpected problems will be encountered</w:t>
      </w:r>
      <w:r w:rsidRPr="001763AE">
        <w:t xml:space="preserve"> and </w:t>
      </w:r>
      <w:r w:rsidR="00B37295">
        <w:t xml:space="preserve">that </w:t>
      </w:r>
      <w:r w:rsidRPr="001763AE">
        <w:t xml:space="preserve">some initial experiments </w:t>
      </w:r>
      <w:r w:rsidR="00B37295">
        <w:t xml:space="preserve">will be </w:t>
      </w:r>
      <w:r w:rsidRPr="001763AE">
        <w:t xml:space="preserve">unsuccessful; </w:t>
      </w:r>
      <w:r w:rsidR="00CB43AA">
        <w:t xml:space="preserve">but </w:t>
      </w:r>
      <w:r w:rsidRPr="001763AE">
        <w:t>eventual success would not happen without these early stages.</w:t>
      </w:r>
    </w:p>
    <w:p w:rsidR="00427F20" w:rsidRPr="001763AE" w:rsidRDefault="009B0AA0" w:rsidP="00235F76">
      <w:pPr>
        <w:pStyle w:val="NumberedPara"/>
        <w:numPr>
          <w:ilvl w:val="0"/>
          <w:numId w:val="0"/>
        </w:numPr>
      </w:pPr>
      <w:r>
        <w:t>Important</w:t>
      </w:r>
      <w:r w:rsidR="00782010" w:rsidRPr="001763AE">
        <w:t xml:space="preserve"> dates </w:t>
      </w:r>
      <w:r w:rsidR="006B5F62" w:rsidRPr="001763AE">
        <w:t>and milestones in the development and implementation of the project ar</w:t>
      </w:r>
      <w:r w:rsidR="00782010" w:rsidRPr="001763AE">
        <w:t xml:space="preserve">e shown in </w:t>
      </w:r>
      <w:r w:rsidR="00217E75" w:rsidRPr="001763AE">
        <w:fldChar w:fldCharType="begin"/>
      </w:r>
      <w:r w:rsidR="00782010" w:rsidRPr="001763AE">
        <w:instrText xml:space="preserve"> REF _Ref279926519 \h </w:instrText>
      </w:r>
      <w:r w:rsidR="00217E75" w:rsidRPr="001763AE">
        <w:fldChar w:fldCharType="separate"/>
      </w:r>
      <w:r w:rsidR="00D406FE" w:rsidRPr="001763AE">
        <w:t xml:space="preserve">Table </w:t>
      </w:r>
      <w:r w:rsidR="00D406FE">
        <w:rPr>
          <w:noProof/>
        </w:rPr>
        <w:t>4</w:t>
      </w:r>
      <w:r w:rsidR="00217E75" w:rsidRPr="001763AE">
        <w:fldChar w:fldCharType="end"/>
      </w:r>
      <w:r w:rsidR="00427F20" w:rsidRPr="001763AE">
        <w:t xml:space="preserve">. </w:t>
      </w:r>
      <w:r w:rsidR="00ED09D1" w:rsidRPr="001763AE">
        <w:t xml:space="preserve">A no-cost extension was approved for the project </w:t>
      </w:r>
      <w:r w:rsidR="00297EDE" w:rsidRPr="001763AE">
        <w:t>on 30 May 2013,</w:t>
      </w:r>
      <w:r w:rsidR="00ED09D1" w:rsidRPr="001763AE">
        <w:t xml:space="preserve"> moving the cl</w:t>
      </w:r>
      <w:r>
        <w:t>osing date from 31 December 2013</w:t>
      </w:r>
      <w:r w:rsidR="00ED09D1" w:rsidRPr="001763AE">
        <w:t xml:space="preserve"> to 30 June 2014</w:t>
      </w:r>
      <w:r w:rsidR="00427F20" w:rsidRPr="001763AE">
        <w:t xml:space="preserve">. </w:t>
      </w:r>
      <w:r w:rsidR="00ED09D1" w:rsidRPr="001763AE">
        <w:t xml:space="preserve">The extension was </w:t>
      </w:r>
      <w:r>
        <w:t xml:space="preserve">granted </w:t>
      </w:r>
      <w:r w:rsidR="00ED09D1" w:rsidRPr="001763AE">
        <w:t xml:space="preserve">to provide time for the renegotiation of the protected area management contracts between the </w:t>
      </w:r>
      <w:r w:rsidR="003A40EB">
        <w:t>MoECC</w:t>
      </w:r>
      <w:r w:rsidR="00ED09D1" w:rsidRPr="001763AE">
        <w:t xml:space="preserve"> and the </w:t>
      </w:r>
      <w:r w:rsidR="003A40EB">
        <w:t>NFA</w:t>
      </w:r>
      <w:r w:rsidR="00ED09D1" w:rsidRPr="001763AE">
        <w:t xml:space="preserve"> (discussed in more detail in Section </w:t>
      </w:r>
      <w:r w:rsidR="00217E75" w:rsidRPr="001763AE">
        <w:fldChar w:fldCharType="begin"/>
      </w:r>
      <w:r w:rsidR="003F33C1" w:rsidRPr="001763AE">
        <w:instrText xml:space="preserve"> REF _Ref391282099 \r \h </w:instrText>
      </w:r>
      <w:r w:rsidR="00217E75" w:rsidRPr="001763AE">
        <w:fldChar w:fldCharType="separate"/>
      </w:r>
      <w:r w:rsidR="00D406FE">
        <w:t>3.3</w:t>
      </w:r>
      <w:r w:rsidR="00217E75" w:rsidRPr="001763AE">
        <w:fldChar w:fldCharType="end"/>
      </w:r>
      <w:r w:rsidR="003F33C1" w:rsidRPr="001763AE">
        <w:t>)</w:t>
      </w:r>
      <w:r w:rsidR="003A40EB">
        <w:t>,</w:t>
      </w:r>
      <w:r w:rsidR="00AA322D" w:rsidRPr="001763AE">
        <w:t xml:space="preserve"> with </w:t>
      </w:r>
      <w:r w:rsidR="001763AE" w:rsidRPr="001763AE">
        <w:t xml:space="preserve">a view to discussing the </w:t>
      </w:r>
      <w:r w:rsidR="00AA322D" w:rsidRPr="001763AE">
        <w:t>proposed additi</w:t>
      </w:r>
      <w:r w:rsidR="001763AE" w:rsidRPr="001763AE">
        <w:t>onal funding opportunities s</w:t>
      </w:r>
      <w:r w:rsidR="00AA322D" w:rsidRPr="001763AE">
        <w:t xml:space="preserve">ubmitted by the project and </w:t>
      </w:r>
      <w:r w:rsidR="001763AE" w:rsidRPr="001763AE">
        <w:t xml:space="preserve">to enabling </w:t>
      </w:r>
      <w:r w:rsidR="00AA322D" w:rsidRPr="001763AE">
        <w:t xml:space="preserve">potential inclusion of </w:t>
      </w:r>
      <w:r w:rsidR="001763AE" w:rsidRPr="001763AE">
        <w:t>all or some of these</w:t>
      </w:r>
      <w:r w:rsidR="00AA322D" w:rsidRPr="001763AE">
        <w:t xml:space="preserve"> provisions into the new contractual framework</w:t>
      </w:r>
      <w:r w:rsidR="00427F20" w:rsidRPr="001763AE">
        <w:t>.</w:t>
      </w:r>
    </w:p>
    <w:p w:rsidR="00782010" w:rsidRPr="001763AE" w:rsidRDefault="00782010" w:rsidP="00782010">
      <w:pPr>
        <w:pStyle w:val="Caption"/>
      </w:pPr>
      <w:bookmarkStart w:id="7" w:name="_Ref279926519"/>
      <w:r w:rsidRPr="001763AE">
        <w:t xml:space="preserve">Table </w:t>
      </w:r>
      <w:r w:rsidR="00C072C9">
        <w:fldChar w:fldCharType="begin"/>
      </w:r>
      <w:r w:rsidR="00C072C9">
        <w:instrText xml:space="preserve"> SEQ Table \* ARABIC </w:instrText>
      </w:r>
      <w:r w:rsidR="00C072C9">
        <w:fldChar w:fldCharType="separate"/>
      </w:r>
      <w:r w:rsidR="00D406FE">
        <w:rPr>
          <w:noProof/>
        </w:rPr>
        <w:t>4</w:t>
      </w:r>
      <w:r w:rsidR="00C072C9">
        <w:rPr>
          <w:noProof/>
        </w:rPr>
        <w:fldChar w:fldCharType="end"/>
      </w:r>
      <w:bookmarkEnd w:id="7"/>
      <w:r w:rsidRPr="001763AE">
        <w:t xml:space="preserve"> Dates and milestones </w:t>
      </w:r>
      <w:r w:rsidR="000E39FF" w:rsidRPr="001763AE">
        <w:t>for the projec</w:t>
      </w:r>
      <w:r w:rsidRPr="001763AE">
        <w:t>t</w:t>
      </w:r>
      <w:r w:rsidR="00427F20" w:rsidRPr="001763AE">
        <w:t xml:space="preserve">. </w:t>
      </w:r>
    </w:p>
    <w:tbl>
      <w:tblPr>
        <w:tblStyle w:val="BasicReportTable"/>
        <w:tblW w:w="5000" w:type="pct"/>
        <w:tblLook w:val="0020" w:firstRow="1" w:lastRow="0" w:firstColumn="0" w:lastColumn="0" w:noHBand="0" w:noVBand="0"/>
      </w:tblPr>
      <w:tblGrid>
        <w:gridCol w:w="6487"/>
        <w:gridCol w:w="3539"/>
      </w:tblGrid>
      <w:tr w:rsidR="009857F7" w:rsidRPr="001763AE" w:rsidTr="003F33C1">
        <w:trPr>
          <w:cnfStyle w:val="100000000000" w:firstRow="1" w:lastRow="0" w:firstColumn="0" w:lastColumn="0" w:oddVBand="0" w:evenVBand="0" w:oddHBand="0" w:evenHBand="0" w:firstRowFirstColumn="0" w:firstRowLastColumn="0" w:lastRowFirstColumn="0" w:lastRowLastColumn="0"/>
        </w:trPr>
        <w:tc>
          <w:tcPr>
            <w:tcW w:w="3235" w:type="pct"/>
          </w:tcPr>
          <w:p w:rsidR="009857F7" w:rsidRPr="001763AE" w:rsidRDefault="009857F7" w:rsidP="009857F7">
            <w:pPr>
              <w:rPr>
                <w:b w:val="0"/>
              </w:rPr>
            </w:pPr>
            <w:r w:rsidRPr="001763AE">
              <w:rPr>
                <w:b w:val="0"/>
              </w:rPr>
              <w:t>Data/Milestone/Event</w:t>
            </w:r>
          </w:p>
        </w:tc>
        <w:tc>
          <w:tcPr>
            <w:tcW w:w="1765" w:type="pct"/>
          </w:tcPr>
          <w:p w:rsidR="009857F7" w:rsidRPr="001763AE" w:rsidRDefault="009857F7" w:rsidP="009857F7">
            <w:pPr>
              <w:tabs>
                <w:tab w:val="right" w:pos="0"/>
              </w:tabs>
              <w:rPr>
                <w:b w:val="0"/>
              </w:rPr>
            </w:pPr>
          </w:p>
        </w:tc>
      </w:tr>
      <w:tr w:rsidR="000E39FF" w:rsidRPr="001763AE" w:rsidTr="003F33C1">
        <w:tc>
          <w:tcPr>
            <w:tcW w:w="3235" w:type="pct"/>
          </w:tcPr>
          <w:p w:rsidR="000E39FF" w:rsidRPr="001763AE" w:rsidRDefault="000E39FF" w:rsidP="009857F7">
            <w:pPr>
              <w:rPr>
                <w:szCs w:val="20"/>
              </w:rPr>
            </w:pPr>
            <w:r w:rsidRPr="001763AE">
              <w:rPr>
                <w:szCs w:val="20"/>
              </w:rPr>
              <w:t xml:space="preserve">GEF Project ID </w:t>
            </w:r>
          </w:p>
        </w:tc>
        <w:tc>
          <w:tcPr>
            <w:tcW w:w="1765" w:type="pct"/>
          </w:tcPr>
          <w:p w:rsidR="000E39FF" w:rsidRPr="001763AE" w:rsidRDefault="000E39FF" w:rsidP="003D4F00">
            <w:r w:rsidRPr="001763AE">
              <w:t>3849</w:t>
            </w:r>
          </w:p>
        </w:tc>
      </w:tr>
      <w:tr w:rsidR="000E39FF" w:rsidRPr="001763AE" w:rsidTr="003F33C1">
        <w:tc>
          <w:tcPr>
            <w:tcW w:w="3235" w:type="pct"/>
          </w:tcPr>
          <w:p w:rsidR="000E39FF" w:rsidRPr="001763AE" w:rsidRDefault="000E39FF" w:rsidP="000E39FF">
            <w:pPr>
              <w:rPr>
                <w:szCs w:val="20"/>
              </w:rPr>
            </w:pPr>
            <w:r w:rsidRPr="001763AE">
              <w:rPr>
                <w:szCs w:val="20"/>
              </w:rPr>
              <w:t xml:space="preserve">UNDP PIMS ID </w:t>
            </w:r>
          </w:p>
        </w:tc>
        <w:tc>
          <w:tcPr>
            <w:tcW w:w="1765" w:type="pct"/>
          </w:tcPr>
          <w:p w:rsidR="000E39FF" w:rsidRPr="001763AE" w:rsidRDefault="000E39FF" w:rsidP="003D4F00">
            <w:r w:rsidRPr="001763AE">
              <w:rPr>
                <w:bCs/>
              </w:rPr>
              <w:t>3458</w:t>
            </w:r>
          </w:p>
        </w:tc>
      </w:tr>
      <w:tr w:rsidR="009857F7" w:rsidRPr="001763AE" w:rsidTr="003F33C1">
        <w:tc>
          <w:tcPr>
            <w:tcW w:w="3235" w:type="pct"/>
          </w:tcPr>
          <w:p w:rsidR="009857F7" w:rsidRPr="001763AE" w:rsidRDefault="009857F7" w:rsidP="009857F7">
            <w:pPr>
              <w:tabs>
                <w:tab w:val="right" w:pos="0"/>
              </w:tabs>
              <w:rPr>
                <w:szCs w:val="20"/>
              </w:rPr>
            </w:pPr>
            <w:r w:rsidRPr="001763AE">
              <w:rPr>
                <w:color w:val="000000"/>
                <w:szCs w:val="20"/>
              </w:rPr>
              <w:t>Project Document Signature</w:t>
            </w:r>
          </w:p>
        </w:tc>
        <w:tc>
          <w:tcPr>
            <w:tcW w:w="1765" w:type="pct"/>
          </w:tcPr>
          <w:p w:rsidR="009857F7" w:rsidRPr="001763AE" w:rsidRDefault="000E39FF" w:rsidP="009857F7">
            <w:pPr>
              <w:tabs>
                <w:tab w:val="right" w:pos="0"/>
              </w:tabs>
              <w:rPr>
                <w:szCs w:val="20"/>
              </w:rPr>
            </w:pPr>
            <w:r w:rsidRPr="001763AE">
              <w:rPr>
                <w:szCs w:val="20"/>
              </w:rPr>
              <w:t>27 November 2009</w:t>
            </w:r>
          </w:p>
        </w:tc>
      </w:tr>
      <w:tr w:rsidR="009857F7" w:rsidRPr="001763AE" w:rsidTr="003F33C1">
        <w:tc>
          <w:tcPr>
            <w:tcW w:w="3235" w:type="pct"/>
          </w:tcPr>
          <w:p w:rsidR="009857F7" w:rsidRPr="001763AE" w:rsidRDefault="009857F7" w:rsidP="009857F7">
            <w:pPr>
              <w:tabs>
                <w:tab w:val="right" w:pos="0"/>
              </w:tabs>
              <w:rPr>
                <w:bCs/>
                <w:szCs w:val="20"/>
              </w:rPr>
            </w:pPr>
            <w:r w:rsidRPr="001763AE">
              <w:rPr>
                <w:bCs/>
                <w:szCs w:val="20"/>
              </w:rPr>
              <w:t>Inception Report Published</w:t>
            </w:r>
          </w:p>
        </w:tc>
        <w:tc>
          <w:tcPr>
            <w:tcW w:w="1765" w:type="pct"/>
          </w:tcPr>
          <w:p w:rsidR="009857F7" w:rsidRPr="001763AE" w:rsidRDefault="00797032" w:rsidP="009857F7">
            <w:pPr>
              <w:tabs>
                <w:tab w:val="right" w:pos="0"/>
              </w:tabs>
              <w:rPr>
                <w:szCs w:val="20"/>
              </w:rPr>
            </w:pPr>
            <w:r w:rsidRPr="001763AE">
              <w:rPr>
                <w:szCs w:val="20"/>
              </w:rPr>
              <w:t>May 2010</w:t>
            </w:r>
          </w:p>
        </w:tc>
      </w:tr>
      <w:tr w:rsidR="009857F7" w:rsidRPr="001763AE" w:rsidTr="003F33C1">
        <w:tc>
          <w:tcPr>
            <w:tcW w:w="3235" w:type="pct"/>
          </w:tcPr>
          <w:p w:rsidR="009857F7" w:rsidRPr="001763AE" w:rsidRDefault="009857F7" w:rsidP="009857F7">
            <w:pPr>
              <w:tabs>
                <w:tab w:val="right" w:pos="0"/>
              </w:tabs>
              <w:rPr>
                <w:bCs/>
                <w:szCs w:val="20"/>
              </w:rPr>
            </w:pPr>
            <w:r w:rsidRPr="001763AE">
              <w:rPr>
                <w:bCs/>
                <w:szCs w:val="20"/>
              </w:rPr>
              <w:t>Mid Term Evaluation Report Published</w:t>
            </w:r>
          </w:p>
        </w:tc>
        <w:tc>
          <w:tcPr>
            <w:tcW w:w="1765" w:type="pct"/>
          </w:tcPr>
          <w:p w:rsidR="009857F7" w:rsidRPr="001763AE" w:rsidRDefault="00797032" w:rsidP="009857F7">
            <w:pPr>
              <w:tabs>
                <w:tab w:val="right" w:pos="0"/>
              </w:tabs>
              <w:rPr>
                <w:szCs w:val="20"/>
              </w:rPr>
            </w:pPr>
            <w:r w:rsidRPr="001763AE">
              <w:rPr>
                <w:szCs w:val="20"/>
              </w:rPr>
              <w:t>August 2012</w:t>
            </w:r>
          </w:p>
        </w:tc>
      </w:tr>
      <w:tr w:rsidR="009857F7" w:rsidRPr="001763AE" w:rsidTr="003F33C1">
        <w:tc>
          <w:tcPr>
            <w:tcW w:w="3235" w:type="pct"/>
          </w:tcPr>
          <w:p w:rsidR="009857F7" w:rsidRPr="001763AE" w:rsidRDefault="009857F7" w:rsidP="009857F7">
            <w:pPr>
              <w:tabs>
                <w:tab w:val="right" w:pos="0"/>
              </w:tabs>
              <w:rPr>
                <w:color w:val="000000"/>
                <w:szCs w:val="20"/>
              </w:rPr>
            </w:pPr>
            <w:r w:rsidRPr="001763AE">
              <w:rPr>
                <w:color w:val="000000"/>
                <w:szCs w:val="20"/>
              </w:rPr>
              <w:t>Final Evaluation</w:t>
            </w:r>
          </w:p>
        </w:tc>
        <w:tc>
          <w:tcPr>
            <w:tcW w:w="1765" w:type="pct"/>
          </w:tcPr>
          <w:p w:rsidR="009857F7" w:rsidRPr="001763AE" w:rsidRDefault="00797032" w:rsidP="009857F7">
            <w:pPr>
              <w:tabs>
                <w:tab w:val="right" w:pos="0"/>
              </w:tabs>
              <w:rPr>
                <w:szCs w:val="20"/>
              </w:rPr>
            </w:pPr>
            <w:r w:rsidRPr="001763AE">
              <w:rPr>
                <w:szCs w:val="20"/>
              </w:rPr>
              <w:t>July 2014</w:t>
            </w:r>
          </w:p>
        </w:tc>
      </w:tr>
      <w:tr w:rsidR="009857F7" w:rsidRPr="001763AE" w:rsidTr="003F33C1">
        <w:tc>
          <w:tcPr>
            <w:tcW w:w="3235" w:type="pct"/>
          </w:tcPr>
          <w:p w:rsidR="009857F7" w:rsidRPr="001763AE" w:rsidRDefault="009857F7" w:rsidP="009857F7">
            <w:pPr>
              <w:rPr>
                <w:szCs w:val="20"/>
              </w:rPr>
            </w:pPr>
            <w:r w:rsidRPr="001763AE">
              <w:rPr>
                <w:szCs w:val="20"/>
              </w:rPr>
              <w:t xml:space="preserve">Original planned closing date </w:t>
            </w:r>
          </w:p>
        </w:tc>
        <w:tc>
          <w:tcPr>
            <w:tcW w:w="1765" w:type="pct"/>
          </w:tcPr>
          <w:p w:rsidR="009857F7" w:rsidRPr="001763AE" w:rsidRDefault="00794801" w:rsidP="00794801">
            <w:pPr>
              <w:rPr>
                <w:szCs w:val="20"/>
              </w:rPr>
            </w:pPr>
            <w:r w:rsidRPr="001763AE">
              <w:rPr>
                <w:szCs w:val="20"/>
              </w:rPr>
              <w:t>31 December 2013</w:t>
            </w:r>
          </w:p>
        </w:tc>
      </w:tr>
      <w:tr w:rsidR="003F33C1" w:rsidRPr="001763AE" w:rsidTr="003F33C1">
        <w:tc>
          <w:tcPr>
            <w:tcW w:w="3235" w:type="pct"/>
          </w:tcPr>
          <w:p w:rsidR="003F33C1" w:rsidRPr="001763AE" w:rsidRDefault="003F33C1" w:rsidP="009857F7">
            <w:pPr>
              <w:rPr>
                <w:szCs w:val="20"/>
              </w:rPr>
            </w:pPr>
            <w:r w:rsidRPr="001763AE">
              <w:rPr>
                <w:szCs w:val="20"/>
              </w:rPr>
              <w:t xml:space="preserve">Approval of 6 month no-cost extension by UNDP Regional Office </w:t>
            </w:r>
          </w:p>
        </w:tc>
        <w:tc>
          <w:tcPr>
            <w:tcW w:w="1765" w:type="pct"/>
          </w:tcPr>
          <w:p w:rsidR="003F33C1" w:rsidRPr="001763AE" w:rsidRDefault="003F33C1" w:rsidP="009857F7">
            <w:pPr>
              <w:rPr>
                <w:szCs w:val="20"/>
              </w:rPr>
            </w:pPr>
            <w:r w:rsidRPr="001763AE">
              <w:rPr>
                <w:szCs w:val="20"/>
              </w:rPr>
              <w:t>30 May 2013</w:t>
            </w:r>
          </w:p>
        </w:tc>
      </w:tr>
      <w:tr w:rsidR="009857F7" w:rsidRPr="001763AE" w:rsidTr="003F33C1">
        <w:tc>
          <w:tcPr>
            <w:tcW w:w="3235" w:type="pct"/>
          </w:tcPr>
          <w:p w:rsidR="009857F7" w:rsidRPr="001763AE" w:rsidRDefault="009857F7" w:rsidP="009857F7">
            <w:pPr>
              <w:rPr>
                <w:szCs w:val="20"/>
              </w:rPr>
            </w:pPr>
            <w:r w:rsidRPr="001763AE">
              <w:rPr>
                <w:szCs w:val="20"/>
              </w:rPr>
              <w:lastRenderedPageBreak/>
              <w:t>Actual closing date</w:t>
            </w:r>
          </w:p>
        </w:tc>
        <w:tc>
          <w:tcPr>
            <w:tcW w:w="1765" w:type="pct"/>
          </w:tcPr>
          <w:p w:rsidR="009857F7" w:rsidRPr="001763AE" w:rsidRDefault="00794801" w:rsidP="00235F76">
            <w:pPr>
              <w:rPr>
                <w:szCs w:val="20"/>
              </w:rPr>
            </w:pPr>
            <w:r w:rsidRPr="001763AE">
              <w:rPr>
                <w:szCs w:val="20"/>
              </w:rPr>
              <w:t xml:space="preserve">30 </w:t>
            </w:r>
            <w:r w:rsidR="00235F76">
              <w:rPr>
                <w:szCs w:val="20"/>
              </w:rPr>
              <w:t>September</w:t>
            </w:r>
            <w:r w:rsidRPr="001763AE">
              <w:rPr>
                <w:szCs w:val="20"/>
              </w:rPr>
              <w:t xml:space="preserve"> 2014</w:t>
            </w:r>
          </w:p>
        </w:tc>
      </w:tr>
    </w:tbl>
    <w:p w:rsidR="00427F20" w:rsidRPr="001763AE" w:rsidRDefault="00025012" w:rsidP="00235F76">
      <w:pPr>
        <w:pStyle w:val="NumberedPara"/>
        <w:numPr>
          <w:ilvl w:val="0"/>
          <w:numId w:val="0"/>
        </w:numPr>
        <w:rPr>
          <w:lang w:eastAsia="en-GB"/>
        </w:rPr>
      </w:pPr>
      <w:r w:rsidRPr="001763AE">
        <w:rPr>
          <w:lang w:eastAsia="en-GB"/>
        </w:rPr>
        <w:t xml:space="preserve">In order to secure its natural and cultural Carpathian heritage, Romania has established a network of 22 national protected areas in the </w:t>
      </w:r>
      <w:r w:rsidR="006B6A18" w:rsidRPr="001763AE">
        <w:rPr>
          <w:lang w:eastAsia="en-GB"/>
        </w:rPr>
        <w:t>range</w:t>
      </w:r>
      <w:r w:rsidRPr="001763AE">
        <w:rPr>
          <w:lang w:eastAsia="en-GB"/>
        </w:rPr>
        <w:t xml:space="preserve">, covering </w:t>
      </w:r>
      <w:r w:rsidR="00604937" w:rsidRPr="001763AE">
        <w:rPr>
          <w:lang w:eastAsia="en-GB"/>
        </w:rPr>
        <w:t>over one million hectares</w:t>
      </w:r>
      <w:r w:rsidR="006B6A18" w:rsidRPr="001763AE">
        <w:rPr>
          <w:lang w:eastAsia="en-GB"/>
        </w:rPr>
        <w:t xml:space="preserve">; </w:t>
      </w:r>
      <w:r w:rsidR="00604937" w:rsidRPr="001763AE">
        <w:rPr>
          <w:lang w:eastAsia="en-GB"/>
        </w:rPr>
        <w:t>most are</w:t>
      </w:r>
      <w:r w:rsidRPr="001763AE">
        <w:rPr>
          <w:lang w:eastAsia="en-GB"/>
        </w:rPr>
        <w:t xml:space="preserve"> administered by the Natio</w:t>
      </w:r>
      <w:r w:rsidR="00604937" w:rsidRPr="001763AE">
        <w:rPr>
          <w:lang w:eastAsia="en-GB"/>
        </w:rPr>
        <w:t>nal Forest Administration (NFA)</w:t>
      </w:r>
      <w:r w:rsidR="006B6A18" w:rsidRPr="001763AE">
        <w:rPr>
          <w:lang w:eastAsia="en-GB"/>
        </w:rPr>
        <w:t xml:space="preserve"> under contract to the Ministry of Environment and Climate Change (</w:t>
      </w:r>
      <w:r w:rsidR="00604937" w:rsidRPr="001763AE">
        <w:rPr>
          <w:lang w:eastAsia="en-GB"/>
        </w:rPr>
        <w:t xml:space="preserve">See </w:t>
      </w:r>
      <w:r w:rsidR="00217E75" w:rsidRPr="001763AE">
        <w:rPr>
          <w:lang w:eastAsia="en-GB"/>
        </w:rPr>
        <w:fldChar w:fldCharType="begin"/>
      </w:r>
      <w:r w:rsidR="00604937" w:rsidRPr="001763AE">
        <w:rPr>
          <w:lang w:eastAsia="en-GB"/>
        </w:rPr>
        <w:instrText xml:space="preserve"> REF _Ref391716681 \h </w:instrText>
      </w:r>
      <w:r w:rsidR="00217E75" w:rsidRPr="001763AE">
        <w:rPr>
          <w:lang w:eastAsia="en-GB"/>
        </w:rPr>
      </w:r>
      <w:r w:rsidR="00217E75" w:rsidRPr="001763AE">
        <w:rPr>
          <w:lang w:eastAsia="en-GB"/>
        </w:rPr>
        <w:fldChar w:fldCharType="separate"/>
      </w:r>
      <w:r w:rsidR="00D406FE" w:rsidRPr="001763AE">
        <w:t xml:space="preserve">Table </w:t>
      </w:r>
      <w:r w:rsidR="00D406FE">
        <w:rPr>
          <w:noProof/>
        </w:rPr>
        <w:t>5</w:t>
      </w:r>
      <w:r w:rsidR="00217E75" w:rsidRPr="001763AE">
        <w:rPr>
          <w:lang w:eastAsia="en-GB"/>
        </w:rPr>
        <w:fldChar w:fldCharType="end"/>
      </w:r>
      <w:r w:rsidR="006B6A18" w:rsidRPr="001763AE">
        <w:rPr>
          <w:lang w:eastAsia="en-GB"/>
        </w:rPr>
        <w:t>).</w:t>
      </w:r>
      <w:r w:rsidR="00427F20" w:rsidRPr="001763AE">
        <w:rPr>
          <w:lang w:eastAsia="en-GB"/>
        </w:rPr>
        <w:t xml:space="preserve"> </w:t>
      </w:r>
      <w:r w:rsidR="00604937" w:rsidRPr="001763AE">
        <w:rPr>
          <w:lang w:eastAsia="en-GB"/>
        </w:rPr>
        <w:t>In addition</w:t>
      </w:r>
      <w:r w:rsidR="006B6A18" w:rsidRPr="001763AE">
        <w:rPr>
          <w:lang w:eastAsia="en-GB"/>
        </w:rPr>
        <w:t xml:space="preserve">, Romania has </w:t>
      </w:r>
      <w:r w:rsidR="00604937" w:rsidRPr="001763AE">
        <w:rPr>
          <w:lang w:eastAsia="en-GB"/>
        </w:rPr>
        <w:t>recently designated an extensive network of Natura 2000 sites in the Carpathians, in order to fulfil requirements of the European Birds and Habitats Directives</w:t>
      </w:r>
      <w:r w:rsidR="00427F20" w:rsidRPr="001763AE">
        <w:rPr>
          <w:lang w:eastAsia="en-GB"/>
        </w:rPr>
        <w:t>.</w:t>
      </w:r>
    </w:p>
    <w:p w:rsidR="00A0462F" w:rsidRPr="001763AE" w:rsidRDefault="00604937" w:rsidP="00604937">
      <w:pPr>
        <w:pStyle w:val="Caption"/>
        <w:rPr>
          <w:rFonts w:eastAsia="Arial"/>
        </w:rPr>
      </w:pPr>
      <w:bookmarkStart w:id="8" w:name="_Ref391716681"/>
      <w:r w:rsidRPr="001763AE">
        <w:t xml:space="preserve">Table </w:t>
      </w:r>
      <w:r w:rsidR="00C072C9">
        <w:fldChar w:fldCharType="begin"/>
      </w:r>
      <w:r w:rsidR="00C072C9">
        <w:instrText xml:space="preserve"> SEQ Table \* ARABIC </w:instrText>
      </w:r>
      <w:r w:rsidR="00C072C9">
        <w:fldChar w:fldCharType="separate"/>
      </w:r>
      <w:r w:rsidR="00D406FE">
        <w:rPr>
          <w:noProof/>
        </w:rPr>
        <w:t>5</w:t>
      </w:r>
      <w:r w:rsidR="00C072C9">
        <w:rPr>
          <w:noProof/>
        </w:rPr>
        <w:fldChar w:fldCharType="end"/>
      </w:r>
      <w:bookmarkEnd w:id="8"/>
      <w:r w:rsidRPr="001763AE">
        <w:t xml:space="preserve"> National Protected Areas in </w:t>
      </w:r>
      <w:r w:rsidR="003959FA" w:rsidRPr="001763AE">
        <w:t xml:space="preserve">the </w:t>
      </w:r>
      <w:r w:rsidRPr="001763AE">
        <w:t>Romania</w:t>
      </w:r>
      <w:r w:rsidR="003959FA" w:rsidRPr="001763AE">
        <w:t>n Carpat</w:t>
      </w:r>
      <w:r w:rsidR="006B6A18" w:rsidRPr="001763AE">
        <w:t>h</w:t>
      </w:r>
      <w:r w:rsidR="003959FA" w:rsidRPr="001763AE">
        <w:t>ians</w:t>
      </w:r>
    </w:p>
    <w:tbl>
      <w:tblPr>
        <w:tblStyle w:val="BasicReport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16"/>
        <w:gridCol w:w="5350"/>
        <w:gridCol w:w="2716"/>
        <w:gridCol w:w="1544"/>
      </w:tblGrid>
      <w:tr w:rsidR="00A0462F" w:rsidRPr="001763AE" w:rsidTr="00604937">
        <w:trPr>
          <w:cnfStyle w:val="100000000000" w:firstRow="1" w:lastRow="0" w:firstColumn="0" w:lastColumn="0" w:oddVBand="0" w:evenVBand="0" w:oddHBand="0" w:evenHBand="0" w:firstRowFirstColumn="0" w:firstRowLastColumn="0" w:lastRowFirstColumn="0" w:lastRowLastColumn="0"/>
          <w:trHeight w:val="270"/>
        </w:trPr>
        <w:tc>
          <w:tcPr>
            <w:tcW w:w="2876" w:type="pct"/>
            <w:gridSpan w:val="2"/>
            <w:noWrap/>
          </w:tcPr>
          <w:p w:rsidR="00A0462F" w:rsidRPr="001763AE" w:rsidRDefault="00A0462F" w:rsidP="00604937">
            <w:pPr>
              <w:rPr>
                <w:rFonts w:cs="Times New Roman"/>
                <w:bCs/>
                <w:szCs w:val="20"/>
              </w:rPr>
            </w:pPr>
            <w:r w:rsidRPr="001763AE">
              <w:rPr>
                <w:rFonts w:cs="Times New Roman"/>
                <w:bCs/>
                <w:szCs w:val="20"/>
              </w:rPr>
              <w:t>Protected Areas</w:t>
            </w:r>
          </w:p>
        </w:tc>
        <w:tc>
          <w:tcPr>
            <w:tcW w:w="1354" w:type="pct"/>
            <w:noWrap/>
          </w:tcPr>
          <w:p w:rsidR="00A0462F" w:rsidRPr="001763AE" w:rsidRDefault="00A0462F" w:rsidP="00604937">
            <w:pPr>
              <w:rPr>
                <w:rFonts w:cs="Times New Roman"/>
                <w:bCs/>
                <w:szCs w:val="20"/>
              </w:rPr>
            </w:pPr>
            <w:r w:rsidRPr="001763AE">
              <w:rPr>
                <w:rFonts w:cs="Times New Roman"/>
                <w:bCs/>
                <w:szCs w:val="20"/>
              </w:rPr>
              <w:t>Administering Organisation</w:t>
            </w:r>
          </w:p>
        </w:tc>
        <w:tc>
          <w:tcPr>
            <w:tcW w:w="770" w:type="pct"/>
            <w:noWrap/>
          </w:tcPr>
          <w:p w:rsidR="00A0462F" w:rsidRPr="001763AE" w:rsidRDefault="00A0462F" w:rsidP="00604937">
            <w:pPr>
              <w:rPr>
                <w:rFonts w:cs="Times New Roman"/>
                <w:bCs/>
                <w:szCs w:val="20"/>
              </w:rPr>
            </w:pPr>
            <w:r w:rsidRPr="001763AE">
              <w:rPr>
                <w:rFonts w:cs="Times New Roman"/>
                <w:bCs/>
                <w:szCs w:val="20"/>
              </w:rPr>
              <w:t>Total area (ha</w:t>
            </w:r>
            <w:r w:rsidR="00BE4C65" w:rsidRPr="001763AE">
              <w:rPr>
                <w:rFonts w:cs="Times New Roman"/>
                <w:bCs/>
                <w:szCs w:val="20"/>
              </w:rPr>
              <w:t>.)</w:t>
            </w:r>
          </w:p>
        </w:tc>
      </w:tr>
      <w:tr w:rsidR="00A0462F" w:rsidRPr="001763AE" w:rsidTr="00604937">
        <w:trPr>
          <w:trHeight w:val="270"/>
        </w:trPr>
        <w:tc>
          <w:tcPr>
            <w:tcW w:w="2876" w:type="pct"/>
            <w:gridSpan w:val="2"/>
            <w:noWrap/>
          </w:tcPr>
          <w:p w:rsidR="00A0462F" w:rsidRPr="001763AE" w:rsidRDefault="00A0462F" w:rsidP="00A0462F">
            <w:pPr>
              <w:jc w:val="both"/>
              <w:rPr>
                <w:rFonts w:eastAsia="Arial Unicode MS" w:cs="Times New Roman"/>
                <w:b/>
                <w:bCs/>
                <w:color w:val="000000" w:themeColor="text1"/>
                <w:szCs w:val="20"/>
              </w:rPr>
            </w:pPr>
            <w:r w:rsidRPr="001763AE">
              <w:rPr>
                <w:rFonts w:cs="Times New Roman"/>
                <w:b/>
                <w:bCs/>
                <w:color w:val="000000" w:themeColor="text1"/>
                <w:szCs w:val="20"/>
              </w:rPr>
              <w:t>National Parks</w:t>
            </w:r>
          </w:p>
        </w:tc>
        <w:tc>
          <w:tcPr>
            <w:tcW w:w="1354" w:type="pct"/>
            <w:noWrap/>
          </w:tcPr>
          <w:p w:rsidR="00A0462F" w:rsidRPr="001763AE" w:rsidRDefault="00A0462F" w:rsidP="00A0462F">
            <w:pPr>
              <w:jc w:val="both"/>
              <w:rPr>
                <w:rFonts w:eastAsia="Arial Unicode MS" w:cs="Times New Roman"/>
                <w:b/>
                <w:bCs/>
                <w:color w:val="000000" w:themeColor="text1"/>
                <w:szCs w:val="20"/>
              </w:rPr>
            </w:pPr>
            <w:r w:rsidRPr="001763AE">
              <w:rPr>
                <w:rFonts w:cs="Times New Roman"/>
                <w:b/>
                <w:bCs/>
                <w:color w:val="000000" w:themeColor="text1"/>
                <w:szCs w:val="20"/>
              </w:rPr>
              <w:t> </w:t>
            </w:r>
          </w:p>
        </w:tc>
        <w:tc>
          <w:tcPr>
            <w:tcW w:w="770" w:type="pct"/>
            <w:noWrap/>
          </w:tcPr>
          <w:p w:rsidR="00A0462F" w:rsidRPr="001763AE" w:rsidRDefault="00A0462F" w:rsidP="00A0462F">
            <w:pPr>
              <w:jc w:val="both"/>
              <w:rPr>
                <w:rFonts w:eastAsia="Arial Unicode MS" w:cs="Times New Roman"/>
                <w:color w:val="000000" w:themeColor="text1"/>
                <w:szCs w:val="20"/>
              </w:rPr>
            </w:pPr>
            <w:r w:rsidRPr="001763AE">
              <w:rPr>
                <w:rFonts w:cs="Times New Roman"/>
                <w:color w:val="000000" w:themeColor="text1"/>
                <w:szCs w:val="20"/>
              </w:rPr>
              <w:t> </w:t>
            </w:r>
          </w:p>
        </w:tc>
      </w:tr>
      <w:tr w:rsidR="00A0462F" w:rsidRPr="001763AE" w:rsidTr="00604937">
        <w:trPr>
          <w:trHeight w:val="285"/>
        </w:trPr>
        <w:tc>
          <w:tcPr>
            <w:tcW w:w="207" w:type="pct"/>
            <w:noWrap/>
          </w:tcPr>
          <w:p w:rsidR="00A0462F" w:rsidRPr="001763AE" w:rsidRDefault="00A0462F" w:rsidP="00A0462F">
            <w:pPr>
              <w:jc w:val="both"/>
              <w:rPr>
                <w:rFonts w:eastAsia="Arial Unicode MS" w:cs="Times New Roman"/>
                <w:bCs/>
                <w:color w:val="000000" w:themeColor="text1"/>
                <w:szCs w:val="20"/>
              </w:rPr>
            </w:pPr>
            <w:r w:rsidRPr="001763AE">
              <w:rPr>
                <w:rFonts w:cs="Times New Roman"/>
                <w:bCs/>
                <w:color w:val="000000" w:themeColor="text1"/>
                <w:szCs w:val="20"/>
              </w:rPr>
              <w:t>1</w:t>
            </w:r>
          </w:p>
        </w:tc>
        <w:tc>
          <w:tcPr>
            <w:tcW w:w="2668" w:type="pct"/>
            <w:noWrap/>
          </w:tcPr>
          <w:p w:rsidR="00A0462F" w:rsidRPr="001763AE" w:rsidRDefault="00A0462F" w:rsidP="00A0462F">
            <w:pPr>
              <w:jc w:val="both"/>
              <w:rPr>
                <w:rFonts w:eastAsia="Arial Unicode MS" w:cs="Times New Roman"/>
                <w:color w:val="000000" w:themeColor="text1"/>
                <w:szCs w:val="20"/>
              </w:rPr>
            </w:pPr>
            <w:r w:rsidRPr="001763AE">
              <w:rPr>
                <w:rFonts w:cs="Times New Roman"/>
                <w:color w:val="000000" w:themeColor="text1"/>
                <w:szCs w:val="20"/>
              </w:rPr>
              <w:t>Călimani</w:t>
            </w:r>
          </w:p>
        </w:tc>
        <w:tc>
          <w:tcPr>
            <w:tcW w:w="1354" w:type="pct"/>
            <w:noWrap/>
          </w:tcPr>
          <w:p w:rsidR="00A0462F"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 xml:space="preserve">National Forest Administration </w:t>
            </w:r>
          </w:p>
        </w:tc>
        <w:tc>
          <w:tcPr>
            <w:tcW w:w="770" w:type="pct"/>
            <w:noWrap/>
          </w:tcPr>
          <w:p w:rsidR="00A0462F" w:rsidRPr="001763AE" w:rsidRDefault="00A0462F" w:rsidP="00A0462F">
            <w:pPr>
              <w:jc w:val="center"/>
              <w:rPr>
                <w:rFonts w:eastAsia="Arial Unicode MS" w:cs="Times New Roman"/>
                <w:color w:val="000000" w:themeColor="text1"/>
                <w:szCs w:val="20"/>
              </w:rPr>
            </w:pPr>
            <w:r w:rsidRPr="001763AE">
              <w:rPr>
                <w:rFonts w:cs="Times New Roman"/>
                <w:color w:val="000000" w:themeColor="text1"/>
                <w:szCs w:val="20"/>
              </w:rPr>
              <w:t>24,041</w:t>
            </w:r>
            <w:r w:rsidR="006B6A18" w:rsidRPr="001763AE">
              <w:rPr>
                <w:rFonts w:cs="Times New Roman"/>
                <w:color w:val="000000" w:themeColor="text1"/>
                <w:szCs w:val="20"/>
              </w:rPr>
              <w:t>.</w:t>
            </w:r>
            <w:r w:rsidRPr="001763AE">
              <w:rPr>
                <w:rFonts w:cs="Times New Roman"/>
                <w:color w:val="000000" w:themeColor="text1"/>
                <w:szCs w:val="20"/>
              </w:rPr>
              <w:t>0</w:t>
            </w:r>
          </w:p>
        </w:tc>
      </w:tr>
      <w:tr w:rsidR="00604937" w:rsidRPr="001763AE" w:rsidTr="00604937">
        <w:trPr>
          <w:trHeight w:val="255"/>
        </w:trPr>
        <w:tc>
          <w:tcPr>
            <w:tcW w:w="207" w:type="pct"/>
            <w:noWrap/>
          </w:tcPr>
          <w:p w:rsidR="00604937" w:rsidRPr="001763AE" w:rsidRDefault="00604937" w:rsidP="00A0462F">
            <w:pPr>
              <w:jc w:val="both"/>
              <w:rPr>
                <w:rFonts w:eastAsia="Arial Unicode MS" w:cs="Times New Roman"/>
                <w:bCs/>
                <w:color w:val="000000" w:themeColor="text1"/>
                <w:szCs w:val="20"/>
              </w:rPr>
            </w:pPr>
            <w:r w:rsidRPr="001763AE">
              <w:rPr>
                <w:rFonts w:cs="Times New Roman"/>
                <w:bCs/>
                <w:color w:val="000000" w:themeColor="text1"/>
                <w:szCs w:val="20"/>
              </w:rPr>
              <w:t>2</w:t>
            </w:r>
          </w:p>
        </w:tc>
        <w:tc>
          <w:tcPr>
            <w:tcW w:w="2668" w:type="pct"/>
            <w:noWrap/>
          </w:tcPr>
          <w:p w:rsidR="00604937" w:rsidRPr="001763AE" w:rsidRDefault="00604937" w:rsidP="00A0462F">
            <w:pPr>
              <w:jc w:val="both"/>
              <w:rPr>
                <w:rFonts w:eastAsia="Arial Unicode MS" w:cs="Times New Roman"/>
                <w:color w:val="000000" w:themeColor="text1"/>
                <w:szCs w:val="20"/>
              </w:rPr>
            </w:pPr>
            <w:r w:rsidRPr="001763AE">
              <w:rPr>
                <w:rFonts w:cs="Times New Roman"/>
                <w:color w:val="000000" w:themeColor="text1"/>
                <w:szCs w:val="20"/>
              </w:rPr>
              <w:t>Cheile Bicazului – Hăşmaş</w:t>
            </w:r>
          </w:p>
        </w:tc>
        <w:tc>
          <w:tcPr>
            <w:tcW w:w="1354" w:type="pct"/>
            <w:noWrap/>
          </w:tcPr>
          <w:p w:rsidR="00604937" w:rsidRPr="001763AE" w:rsidRDefault="00604937">
            <w:r w:rsidRPr="001763AE">
              <w:rPr>
                <w:rFonts w:cs="Times New Roman"/>
                <w:color w:val="000000" w:themeColor="text1"/>
                <w:szCs w:val="20"/>
              </w:rPr>
              <w:t xml:space="preserve">National Forest Administration </w:t>
            </w:r>
          </w:p>
        </w:tc>
        <w:tc>
          <w:tcPr>
            <w:tcW w:w="770" w:type="pct"/>
            <w:noWrap/>
          </w:tcPr>
          <w:p w:rsidR="00604937"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6,575</w:t>
            </w:r>
            <w:r w:rsidR="006B6A18" w:rsidRPr="001763AE">
              <w:rPr>
                <w:rFonts w:cs="Times New Roman"/>
                <w:color w:val="000000" w:themeColor="text1"/>
                <w:szCs w:val="20"/>
              </w:rPr>
              <w:t>.</w:t>
            </w:r>
            <w:r w:rsidRPr="001763AE">
              <w:rPr>
                <w:rFonts w:cs="Times New Roman"/>
                <w:color w:val="000000" w:themeColor="text1"/>
                <w:szCs w:val="20"/>
              </w:rPr>
              <w:t>0</w:t>
            </w:r>
          </w:p>
        </w:tc>
      </w:tr>
      <w:tr w:rsidR="00604937" w:rsidRPr="001763AE" w:rsidTr="00604937">
        <w:trPr>
          <w:trHeight w:val="255"/>
        </w:trPr>
        <w:tc>
          <w:tcPr>
            <w:tcW w:w="207" w:type="pct"/>
            <w:noWrap/>
          </w:tcPr>
          <w:p w:rsidR="00604937" w:rsidRPr="001763AE" w:rsidRDefault="00604937" w:rsidP="00A0462F">
            <w:pPr>
              <w:jc w:val="both"/>
              <w:rPr>
                <w:rFonts w:eastAsia="Arial Unicode MS" w:cs="Times New Roman"/>
                <w:bCs/>
                <w:color w:val="000000" w:themeColor="text1"/>
                <w:szCs w:val="20"/>
              </w:rPr>
            </w:pPr>
            <w:r w:rsidRPr="001763AE">
              <w:rPr>
                <w:rFonts w:cs="Times New Roman"/>
                <w:bCs/>
                <w:color w:val="000000" w:themeColor="text1"/>
                <w:szCs w:val="20"/>
              </w:rPr>
              <w:t>3</w:t>
            </w:r>
          </w:p>
        </w:tc>
        <w:tc>
          <w:tcPr>
            <w:tcW w:w="2668" w:type="pct"/>
            <w:noWrap/>
          </w:tcPr>
          <w:p w:rsidR="00604937" w:rsidRPr="001763AE" w:rsidRDefault="00604937" w:rsidP="00A0462F">
            <w:pPr>
              <w:jc w:val="both"/>
              <w:rPr>
                <w:rFonts w:eastAsia="Arial Unicode MS" w:cs="Times New Roman"/>
                <w:color w:val="000000" w:themeColor="text1"/>
                <w:szCs w:val="20"/>
              </w:rPr>
            </w:pPr>
            <w:r w:rsidRPr="001763AE">
              <w:rPr>
                <w:rFonts w:cs="Times New Roman"/>
                <w:color w:val="000000" w:themeColor="text1"/>
                <w:szCs w:val="20"/>
              </w:rPr>
              <w:t>Cheile Nerei – Beuşniţa</w:t>
            </w:r>
          </w:p>
        </w:tc>
        <w:tc>
          <w:tcPr>
            <w:tcW w:w="1354" w:type="pct"/>
            <w:noWrap/>
          </w:tcPr>
          <w:p w:rsidR="00604937" w:rsidRPr="001763AE" w:rsidRDefault="00604937">
            <w:r w:rsidRPr="001763AE">
              <w:rPr>
                <w:rFonts w:cs="Times New Roman"/>
                <w:color w:val="000000" w:themeColor="text1"/>
                <w:szCs w:val="20"/>
              </w:rPr>
              <w:t xml:space="preserve">National Forest Administration </w:t>
            </w:r>
          </w:p>
        </w:tc>
        <w:tc>
          <w:tcPr>
            <w:tcW w:w="770" w:type="pct"/>
            <w:noWrap/>
          </w:tcPr>
          <w:p w:rsidR="00604937"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36,758</w:t>
            </w:r>
            <w:r w:rsidR="006B6A18" w:rsidRPr="001763AE">
              <w:rPr>
                <w:rFonts w:cs="Times New Roman"/>
                <w:color w:val="000000" w:themeColor="text1"/>
                <w:szCs w:val="20"/>
              </w:rPr>
              <w:t>.</w:t>
            </w:r>
            <w:r w:rsidRPr="001763AE">
              <w:rPr>
                <w:rFonts w:cs="Times New Roman"/>
                <w:color w:val="000000" w:themeColor="text1"/>
                <w:szCs w:val="20"/>
              </w:rPr>
              <w:t>0</w:t>
            </w:r>
          </w:p>
        </w:tc>
      </w:tr>
      <w:tr w:rsidR="00604937" w:rsidRPr="001763AE" w:rsidTr="00604937">
        <w:trPr>
          <w:trHeight w:val="255"/>
        </w:trPr>
        <w:tc>
          <w:tcPr>
            <w:tcW w:w="207" w:type="pct"/>
            <w:noWrap/>
          </w:tcPr>
          <w:p w:rsidR="00604937" w:rsidRPr="001763AE" w:rsidRDefault="00604937" w:rsidP="00A0462F">
            <w:pPr>
              <w:jc w:val="both"/>
              <w:rPr>
                <w:rFonts w:eastAsia="Arial Unicode MS" w:cs="Times New Roman"/>
                <w:bCs/>
                <w:color w:val="000000" w:themeColor="text1"/>
                <w:szCs w:val="20"/>
              </w:rPr>
            </w:pPr>
            <w:r w:rsidRPr="001763AE">
              <w:rPr>
                <w:rFonts w:cs="Times New Roman"/>
                <w:bCs/>
                <w:color w:val="000000" w:themeColor="text1"/>
                <w:szCs w:val="20"/>
              </w:rPr>
              <w:t>4</w:t>
            </w:r>
          </w:p>
        </w:tc>
        <w:tc>
          <w:tcPr>
            <w:tcW w:w="2668" w:type="pct"/>
            <w:noWrap/>
          </w:tcPr>
          <w:p w:rsidR="00604937" w:rsidRPr="001763AE" w:rsidRDefault="00604937" w:rsidP="00A0462F">
            <w:pPr>
              <w:jc w:val="both"/>
              <w:rPr>
                <w:rFonts w:eastAsia="Arial Unicode MS" w:cs="Times New Roman"/>
                <w:color w:val="000000" w:themeColor="text1"/>
                <w:szCs w:val="20"/>
              </w:rPr>
            </w:pPr>
            <w:r w:rsidRPr="001763AE">
              <w:rPr>
                <w:rFonts w:cs="Times New Roman"/>
                <w:color w:val="000000" w:themeColor="text1"/>
                <w:szCs w:val="20"/>
              </w:rPr>
              <w:t>Cozia</w:t>
            </w:r>
          </w:p>
        </w:tc>
        <w:tc>
          <w:tcPr>
            <w:tcW w:w="1354" w:type="pct"/>
            <w:noWrap/>
          </w:tcPr>
          <w:p w:rsidR="00604937" w:rsidRPr="001763AE" w:rsidRDefault="00604937">
            <w:r w:rsidRPr="001763AE">
              <w:rPr>
                <w:rFonts w:cs="Times New Roman"/>
                <w:color w:val="000000" w:themeColor="text1"/>
                <w:szCs w:val="20"/>
              </w:rPr>
              <w:t xml:space="preserve">National Forest Administration </w:t>
            </w:r>
          </w:p>
        </w:tc>
        <w:tc>
          <w:tcPr>
            <w:tcW w:w="770" w:type="pct"/>
            <w:noWrap/>
          </w:tcPr>
          <w:p w:rsidR="00604937"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17,100</w:t>
            </w:r>
            <w:r w:rsidR="006B6A18" w:rsidRPr="001763AE">
              <w:rPr>
                <w:rFonts w:cs="Times New Roman"/>
                <w:color w:val="000000" w:themeColor="text1"/>
                <w:szCs w:val="20"/>
              </w:rPr>
              <w:t>.</w:t>
            </w:r>
            <w:r w:rsidRPr="001763AE">
              <w:rPr>
                <w:rFonts w:cs="Times New Roman"/>
                <w:color w:val="000000" w:themeColor="text1"/>
                <w:szCs w:val="20"/>
              </w:rPr>
              <w:t>0</w:t>
            </w:r>
          </w:p>
        </w:tc>
      </w:tr>
      <w:tr w:rsidR="00604937" w:rsidRPr="001763AE" w:rsidTr="00604937">
        <w:trPr>
          <w:trHeight w:val="255"/>
        </w:trPr>
        <w:tc>
          <w:tcPr>
            <w:tcW w:w="207" w:type="pct"/>
            <w:noWrap/>
          </w:tcPr>
          <w:p w:rsidR="00604937" w:rsidRPr="001763AE" w:rsidRDefault="00604937" w:rsidP="00A0462F">
            <w:pPr>
              <w:jc w:val="both"/>
              <w:rPr>
                <w:rFonts w:eastAsia="Arial Unicode MS" w:cs="Times New Roman"/>
                <w:bCs/>
                <w:color w:val="000000" w:themeColor="text1"/>
                <w:szCs w:val="20"/>
              </w:rPr>
            </w:pPr>
            <w:r w:rsidRPr="001763AE">
              <w:rPr>
                <w:rFonts w:cs="Times New Roman"/>
                <w:bCs/>
                <w:color w:val="000000" w:themeColor="text1"/>
                <w:szCs w:val="20"/>
              </w:rPr>
              <w:t>5</w:t>
            </w:r>
          </w:p>
        </w:tc>
        <w:tc>
          <w:tcPr>
            <w:tcW w:w="2668" w:type="pct"/>
            <w:noWrap/>
          </w:tcPr>
          <w:p w:rsidR="00604937" w:rsidRPr="001763AE" w:rsidRDefault="00604937" w:rsidP="00A0462F">
            <w:pPr>
              <w:jc w:val="both"/>
              <w:rPr>
                <w:rFonts w:eastAsia="Arial Unicode MS" w:cs="Times New Roman"/>
                <w:color w:val="000000" w:themeColor="text1"/>
                <w:szCs w:val="20"/>
              </w:rPr>
            </w:pPr>
            <w:r w:rsidRPr="001763AE">
              <w:rPr>
                <w:rFonts w:cs="Times New Roman"/>
                <w:color w:val="000000" w:themeColor="text1"/>
                <w:szCs w:val="20"/>
              </w:rPr>
              <w:t>Domogled - Valea Cernei</w:t>
            </w:r>
          </w:p>
        </w:tc>
        <w:tc>
          <w:tcPr>
            <w:tcW w:w="1354" w:type="pct"/>
            <w:noWrap/>
          </w:tcPr>
          <w:p w:rsidR="00604937" w:rsidRPr="001763AE" w:rsidRDefault="00604937">
            <w:r w:rsidRPr="001763AE">
              <w:rPr>
                <w:rFonts w:cs="Times New Roman"/>
                <w:color w:val="000000" w:themeColor="text1"/>
                <w:szCs w:val="20"/>
              </w:rPr>
              <w:t xml:space="preserve">National Forest Administration </w:t>
            </w:r>
          </w:p>
        </w:tc>
        <w:tc>
          <w:tcPr>
            <w:tcW w:w="770" w:type="pct"/>
            <w:noWrap/>
          </w:tcPr>
          <w:p w:rsidR="00604937"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61,211</w:t>
            </w:r>
            <w:r w:rsidR="006B6A18" w:rsidRPr="001763AE">
              <w:rPr>
                <w:rFonts w:cs="Times New Roman"/>
                <w:color w:val="000000" w:themeColor="text1"/>
                <w:szCs w:val="20"/>
              </w:rPr>
              <w:t>.</w:t>
            </w:r>
            <w:r w:rsidRPr="001763AE">
              <w:rPr>
                <w:rFonts w:cs="Times New Roman"/>
                <w:color w:val="000000" w:themeColor="text1"/>
                <w:szCs w:val="20"/>
              </w:rPr>
              <w:t>0</w:t>
            </w:r>
          </w:p>
        </w:tc>
      </w:tr>
      <w:tr w:rsidR="00604937" w:rsidRPr="001763AE" w:rsidTr="00604937">
        <w:trPr>
          <w:trHeight w:val="255"/>
        </w:trPr>
        <w:tc>
          <w:tcPr>
            <w:tcW w:w="207" w:type="pct"/>
            <w:noWrap/>
          </w:tcPr>
          <w:p w:rsidR="00604937" w:rsidRPr="001763AE" w:rsidRDefault="00604937" w:rsidP="00A0462F">
            <w:pPr>
              <w:jc w:val="both"/>
              <w:rPr>
                <w:rFonts w:eastAsia="Arial Unicode MS" w:cs="Times New Roman"/>
                <w:bCs/>
                <w:color w:val="000000" w:themeColor="text1"/>
                <w:szCs w:val="20"/>
              </w:rPr>
            </w:pPr>
            <w:r w:rsidRPr="001763AE">
              <w:rPr>
                <w:rFonts w:cs="Times New Roman"/>
                <w:bCs/>
                <w:color w:val="000000" w:themeColor="text1"/>
                <w:szCs w:val="20"/>
              </w:rPr>
              <w:t>6</w:t>
            </w:r>
          </w:p>
        </w:tc>
        <w:tc>
          <w:tcPr>
            <w:tcW w:w="2668" w:type="pct"/>
            <w:noWrap/>
          </w:tcPr>
          <w:p w:rsidR="00604937" w:rsidRPr="001763AE" w:rsidRDefault="00604937" w:rsidP="00A0462F">
            <w:pPr>
              <w:jc w:val="both"/>
              <w:rPr>
                <w:rFonts w:eastAsia="Arial Unicode MS" w:cs="Times New Roman"/>
                <w:color w:val="000000" w:themeColor="text1"/>
                <w:szCs w:val="20"/>
              </w:rPr>
            </w:pPr>
            <w:r w:rsidRPr="001763AE">
              <w:rPr>
                <w:rFonts w:cs="Times New Roman"/>
                <w:color w:val="000000" w:themeColor="text1"/>
                <w:szCs w:val="20"/>
              </w:rPr>
              <w:t>Piatra Craiului</w:t>
            </w:r>
          </w:p>
        </w:tc>
        <w:tc>
          <w:tcPr>
            <w:tcW w:w="1354" w:type="pct"/>
            <w:noWrap/>
          </w:tcPr>
          <w:p w:rsidR="00604937" w:rsidRPr="001763AE" w:rsidRDefault="00604937">
            <w:r w:rsidRPr="001763AE">
              <w:rPr>
                <w:rFonts w:cs="Times New Roman"/>
                <w:color w:val="000000" w:themeColor="text1"/>
                <w:szCs w:val="20"/>
              </w:rPr>
              <w:t xml:space="preserve">National Forest Administration </w:t>
            </w:r>
          </w:p>
        </w:tc>
        <w:tc>
          <w:tcPr>
            <w:tcW w:w="770" w:type="pct"/>
            <w:noWrap/>
          </w:tcPr>
          <w:p w:rsidR="00604937"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14,773</w:t>
            </w:r>
            <w:r w:rsidR="006B6A18" w:rsidRPr="001763AE">
              <w:rPr>
                <w:rFonts w:cs="Times New Roman"/>
                <w:color w:val="000000" w:themeColor="text1"/>
                <w:szCs w:val="20"/>
              </w:rPr>
              <w:t>.</w:t>
            </w:r>
            <w:r w:rsidRPr="001763AE">
              <w:rPr>
                <w:rFonts w:cs="Times New Roman"/>
                <w:color w:val="000000" w:themeColor="text1"/>
                <w:szCs w:val="20"/>
              </w:rPr>
              <w:t>0</w:t>
            </w:r>
          </w:p>
        </w:tc>
      </w:tr>
      <w:tr w:rsidR="00604937" w:rsidRPr="001763AE" w:rsidTr="00604937">
        <w:trPr>
          <w:trHeight w:val="255"/>
        </w:trPr>
        <w:tc>
          <w:tcPr>
            <w:tcW w:w="207" w:type="pct"/>
            <w:noWrap/>
          </w:tcPr>
          <w:p w:rsidR="00604937" w:rsidRPr="001763AE" w:rsidRDefault="00604937" w:rsidP="00A0462F">
            <w:pPr>
              <w:jc w:val="both"/>
              <w:rPr>
                <w:rFonts w:eastAsia="Arial Unicode MS" w:cs="Times New Roman"/>
                <w:bCs/>
                <w:color w:val="000000" w:themeColor="text1"/>
                <w:szCs w:val="20"/>
              </w:rPr>
            </w:pPr>
            <w:r w:rsidRPr="001763AE">
              <w:rPr>
                <w:rFonts w:cs="Times New Roman"/>
                <w:bCs/>
                <w:color w:val="000000" w:themeColor="text1"/>
                <w:szCs w:val="20"/>
              </w:rPr>
              <w:t>7</w:t>
            </w:r>
          </w:p>
        </w:tc>
        <w:tc>
          <w:tcPr>
            <w:tcW w:w="2668" w:type="pct"/>
            <w:noWrap/>
          </w:tcPr>
          <w:p w:rsidR="00604937" w:rsidRPr="001763AE" w:rsidRDefault="00604937" w:rsidP="00A0462F">
            <w:pPr>
              <w:jc w:val="both"/>
              <w:rPr>
                <w:rFonts w:eastAsia="Arial Unicode MS" w:cs="Times New Roman"/>
                <w:color w:val="000000" w:themeColor="text1"/>
                <w:szCs w:val="20"/>
              </w:rPr>
            </w:pPr>
            <w:r w:rsidRPr="001763AE">
              <w:rPr>
                <w:rFonts w:cs="Times New Roman"/>
                <w:color w:val="000000" w:themeColor="text1"/>
                <w:szCs w:val="20"/>
              </w:rPr>
              <w:t>Retezat</w:t>
            </w:r>
          </w:p>
        </w:tc>
        <w:tc>
          <w:tcPr>
            <w:tcW w:w="1354" w:type="pct"/>
            <w:noWrap/>
          </w:tcPr>
          <w:p w:rsidR="00604937" w:rsidRPr="001763AE" w:rsidRDefault="00604937">
            <w:r w:rsidRPr="001763AE">
              <w:rPr>
                <w:rFonts w:cs="Times New Roman"/>
                <w:color w:val="000000" w:themeColor="text1"/>
                <w:szCs w:val="20"/>
              </w:rPr>
              <w:t xml:space="preserve">National Forest Administration </w:t>
            </w:r>
          </w:p>
        </w:tc>
        <w:tc>
          <w:tcPr>
            <w:tcW w:w="770" w:type="pct"/>
            <w:noWrap/>
          </w:tcPr>
          <w:p w:rsidR="00604937"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38,138</w:t>
            </w:r>
            <w:r w:rsidR="006B6A18" w:rsidRPr="001763AE">
              <w:rPr>
                <w:rFonts w:cs="Times New Roman"/>
                <w:color w:val="000000" w:themeColor="text1"/>
                <w:szCs w:val="20"/>
              </w:rPr>
              <w:t>.</w:t>
            </w:r>
            <w:r w:rsidRPr="001763AE">
              <w:rPr>
                <w:rFonts w:cs="Times New Roman"/>
                <w:color w:val="000000" w:themeColor="text1"/>
                <w:szCs w:val="20"/>
              </w:rPr>
              <w:t>0</w:t>
            </w:r>
          </w:p>
        </w:tc>
      </w:tr>
      <w:tr w:rsidR="00604937" w:rsidRPr="001763AE" w:rsidTr="00604937">
        <w:trPr>
          <w:trHeight w:val="270"/>
        </w:trPr>
        <w:tc>
          <w:tcPr>
            <w:tcW w:w="207" w:type="pct"/>
            <w:noWrap/>
          </w:tcPr>
          <w:p w:rsidR="00604937" w:rsidRPr="001763AE" w:rsidRDefault="00604937" w:rsidP="00A0462F">
            <w:pPr>
              <w:jc w:val="both"/>
              <w:rPr>
                <w:rFonts w:eastAsia="Arial Unicode MS" w:cs="Times New Roman"/>
                <w:bCs/>
                <w:color w:val="000000" w:themeColor="text1"/>
                <w:szCs w:val="20"/>
              </w:rPr>
            </w:pPr>
            <w:r w:rsidRPr="001763AE">
              <w:rPr>
                <w:rFonts w:cs="Times New Roman"/>
                <w:bCs/>
                <w:color w:val="000000" w:themeColor="text1"/>
                <w:szCs w:val="20"/>
              </w:rPr>
              <w:t>8</w:t>
            </w:r>
          </w:p>
        </w:tc>
        <w:tc>
          <w:tcPr>
            <w:tcW w:w="2668" w:type="pct"/>
            <w:noWrap/>
          </w:tcPr>
          <w:p w:rsidR="00604937" w:rsidRPr="001763AE" w:rsidRDefault="00604937" w:rsidP="00A0462F">
            <w:pPr>
              <w:jc w:val="both"/>
              <w:rPr>
                <w:rFonts w:eastAsia="Arial Unicode MS" w:cs="Times New Roman"/>
                <w:color w:val="000000" w:themeColor="text1"/>
                <w:szCs w:val="20"/>
              </w:rPr>
            </w:pPr>
            <w:r w:rsidRPr="001763AE">
              <w:rPr>
                <w:rFonts w:cs="Times New Roman"/>
                <w:color w:val="000000" w:themeColor="text1"/>
                <w:szCs w:val="20"/>
              </w:rPr>
              <w:t>Muntii Rodnei</w:t>
            </w:r>
          </w:p>
        </w:tc>
        <w:tc>
          <w:tcPr>
            <w:tcW w:w="1354" w:type="pct"/>
            <w:noWrap/>
          </w:tcPr>
          <w:p w:rsidR="00604937" w:rsidRPr="001763AE" w:rsidRDefault="00604937">
            <w:r w:rsidRPr="001763AE">
              <w:rPr>
                <w:rFonts w:cs="Times New Roman"/>
                <w:color w:val="000000" w:themeColor="text1"/>
                <w:szCs w:val="20"/>
              </w:rPr>
              <w:t xml:space="preserve">National Forest Administration </w:t>
            </w:r>
          </w:p>
        </w:tc>
        <w:tc>
          <w:tcPr>
            <w:tcW w:w="770" w:type="pct"/>
            <w:noWrap/>
          </w:tcPr>
          <w:p w:rsidR="00604937"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46,399</w:t>
            </w:r>
            <w:r w:rsidR="006B6A18" w:rsidRPr="001763AE">
              <w:rPr>
                <w:rFonts w:cs="Times New Roman"/>
                <w:color w:val="000000" w:themeColor="text1"/>
                <w:szCs w:val="20"/>
              </w:rPr>
              <w:t>.</w:t>
            </w:r>
            <w:r w:rsidRPr="001763AE">
              <w:rPr>
                <w:rFonts w:cs="Times New Roman"/>
                <w:color w:val="000000" w:themeColor="text1"/>
                <w:szCs w:val="20"/>
              </w:rPr>
              <w:t>0</w:t>
            </w:r>
          </w:p>
        </w:tc>
      </w:tr>
      <w:tr w:rsidR="00604937" w:rsidRPr="001763AE" w:rsidTr="00604937">
        <w:trPr>
          <w:trHeight w:val="255"/>
        </w:trPr>
        <w:tc>
          <w:tcPr>
            <w:tcW w:w="207" w:type="pct"/>
            <w:noWrap/>
          </w:tcPr>
          <w:p w:rsidR="00604937" w:rsidRPr="001763AE" w:rsidRDefault="00604937" w:rsidP="00A0462F">
            <w:pPr>
              <w:jc w:val="both"/>
              <w:rPr>
                <w:rFonts w:eastAsia="Arial Unicode MS" w:cs="Times New Roman"/>
                <w:bCs/>
                <w:color w:val="000000" w:themeColor="text1"/>
                <w:szCs w:val="20"/>
              </w:rPr>
            </w:pPr>
            <w:r w:rsidRPr="001763AE">
              <w:rPr>
                <w:rFonts w:cs="Times New Roman"/>
                <w:bCs/>
                <w:color w:val="000000" w:themeColor="text1"/>
                <w:szCs w:val="20"/>
              </w:rPr>
              <w:t>9</w:t>
            </w:r>
          </w:p>
        </w:tc>
        <w:tc>
          <w:tcPr>
            <w:tcW w:w="2668" w:type="pct"/>
            <w:noWrap/>
          </w:tcPr>
          <w:p w:rsidR="00604937" w:rsidRPr="001763AE" w:rsidRDefault="00604937" w:rsidP="00A0462F">
            <w:pPr>
              <w:jc w:val="both"/>
              <w:rPr>
                <w:rFonts w:eastAsia="Arial Unicode MS" w:cs="Times New Roman"/>
                <w:color w:val="000000" w:themeColor="text1"/>
                <w:szCs w:val="20"/>
              </w:rPr>
            </w:pPr>
            <w:r w:rsidRPr="001763AE">
              <w:rPr>
                <w:rFonts w:cs="Times New Roman"/>
                <w:color w:val="000000" w:themeColor="text1"/>
                <w:szCs w:val="20"/>
              </w:rPr>
              <w:t>Semenic - Cheile Caraşului</w:t>
            </w:r>
          </w:p>
        </w:tc>
        <w:tc>
          <w:tcPr>
            <w:tcW w:w="1354" w:type="pct"/>
            <w:noWrap/>
          </w:tcPr>
          <w:p w:rsidR="00604937" w:rsidRPr="001763AE" w:rsidRDefault="00604937">
            <w:r w:rsidRPr="001763AE">
              <w:rPr>
                <w:rFonts w:cs="Times New Roman"/>
                <w:color w:val="000000" w:themeColor="text1"/>
                <w:szCs w:val="20"/>
              </w:rPr>
              <w:t xml:space="preserve">National Forest Administration </w:t>
            </w:r>
          </w:p>
        </w:tc>
        <w:tc>
          <w:tcPr>
            <w:tcW w:w="770" w:type="pct"/>
            <w:noWrap/>
          </w:tcPr>
          <w:p w:rsidR="00604937"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36,160</w:t>
            </w:r>
            <w:r w:rsidR="006B6A18" w:rsidRPr="001763AE">
              <w:rPr>
                <w:rFonts w:cs="Times New Roman"/>
                <w:color w:val="000000" w:themeColor="text1"/>
                <w:szCs w:val="20"/>
              </w:rPr>
              <w:t>.</w:t>
            </w:r>
            <w:r w:rsidRPr="001763AE">
              <w:rPr>
                <w:rFonts w:cs="Times New Roman"/>
                <w:color w:val="000000" w:themeColor="text1"/>
                <w:szCs w:val="20"/>
              </w:rPr>
              <w:t>7</w:t>
            </w:r>
          </w:p>
        </w:tc>
      </w:tr>
      <w:tr w:rsidR="00604937" w:rsidRPr="001763AE" w:rsidTr="00604937">
        <w:trPr>
          <w:trHeight w:val="255"/>
        </w:trPr>
        <w:tc>
          <w:tcPr>
            <w:tcW w:w="207" w:type="pct"/>
            <w:noWrap/>
          </w:tcPr>
          <w:p w:rsidR="00604937" w:rsidRPr="001763AE" w:rsidRDefault="00604937" w:rsidP="00A0462F">
            <w:pPr>
              <w:jc w:val="both"/>
              <w:rPr>
                <w:rFonts w:eastAsia="Arial Unicode MS" w:cs="Times New Roman"/>
                <w:bCs/>
                <w:color w:val="000000" w:themeColor="text1"/>
                <w:szCs w:val="20"/>
              </w:rPr>
            </w:pPr>
            <w:r w:rsidRPr="001763AE">
              <w:rPr>
                <w:rFonts w:cs="Times New Roman"/>
                <w:bCs/>
                <w:color w:val="000000" w:themeColor="text1"/>
                <w:szCs w:val="20"/>
              </w:rPr>
              <w:t>10</w:t>
            </w:r>
          </w:p>
        </w:tc>
        <w:tc>
          <w:tcPr>
            <w:tcW w:w="2668" w:type="pct"/>
            <w:noWrap/>
          </w:tcPr>
          <w:p w:rsidR="00604937" w:rsidRPr="001763AE" w:rsidRDefault="00604937" w:rsidP="00A0462F">
            <w:pPr>
              <w:jc w:val="both"/>
              <w:rPr>
                <w:rFonts w:eastAsia="Arial Unicode MS" w:cs="Times New Roman"/>
                <w:color w:val="000000" w:themeColor="text1"/>
                <w:szCs w:val="20"/>
              </w:rPr>
            </w:pPr>
            <w:r w:rsidRPr="001763AE">
              <w:rPr>
                <w:rFonts w:cs="Times New Roman"/>
                <w:color w:val="000000" w:themeColor="text1"/>
                <w:szCs w:val="20"/>
              </w:rPr>
              <w:t>Buila – Vânturariţa</w:t>
            </w:r>
          </w:p>
        </w:tc>
        <w:tc>
          <w:tcPr>
            <w:tcW w:w="1354" w:type="pct"/>
            <w:noWrap/>
          </w:tcPr>
          <w:p w:rsidR="00604937" w:rsidRPr="001763AE" w:rsidRDefault="00604937">
            <w:r w:rsidRPr="001763AE">
              <w:rPr>
                <w:rFonts w:cs="Times New Roman"/>
                <w:color w:val="000000" w:themeColor="text1"/>
                <w:szCs w:val="20"/>
              </w:rPr>
              <w:t xml:space="preserve">National Forest Administration </w:t>
            </w:r>
          </w:p>
        </w:tc>
        <w:tc>
          <w:tcPr>
            <w:tcW w:w="770" w:type="pct"/>
            <w:noWrap/>
          </w:tcPr>
          <w:p w:rsidR="00604937"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4,186</w:t>
            </w:r>
            <w:r w:rsidR="006B6A18" w:rsidRPr="001763AE">
              <w:rPr>
                <w:rFonts w:cs="Times New Roman"/>
                <w:color w:val="000000" w:themeColor="text1"/>
                <w:szCs w:val="20"/>
              </w:rPr>
              <w:t>.</w:t>
            </w:r>
            <w:r w:rsidRPr="001763AE">
              <w:rPr>
                <w:rFonts w:cs="Times New Roman"/>
                <w:color w:val="000000" w:themeColor="text1"/>
                <w:szCs w:val="20"/>
              </w:rPr>
              <w:t>0</w:t>
            </w:r>
          </w:p>
        </w:tc>
      </w:tr>
      <w:tr w:rsidR="00A0462F" w:rsidRPr="001763AE" w:rsidTr="00604937">
        <w:trPr>
          <w:trHeight w:val="255"/>
        </w:trPr>
        <w:tc>
          <w:tcPr>
            <w:tcW w:w="207" w:type="pct"/>
            <w:noWrap/>
          </w:tcPr>
          <w:p w:rsidR="00A0462F" w:rsidRPr="001763AE" w:rsidRDefault="00A0462F" w:rsidP="00A0462F">
            <w:pPr>
              <w:jc w:val="both"/>
              <w:rPr>
                <w:rFonts w:eastAsia="Arial Unicode MS" w:cs="Times New Roman"/>
                <w:bCs/>
                <w:color w:val="000000" w:themeColor="text1"/>
                <w:szCs w:val="20"/>
              </w:rPr>
            </w:pPr>
            <w:r w:rsidRPr="001763AE">
              <w:rPr>
                <w:rFonts w:cs="Times New Roman"/>
                <w:bCs/>
                <w:color w:val="000000" w:themeColor="text1"/>
                <w:szCs w:val="20"/>
              </w:rPr>
              <w:t>11</w:t>
            </w:r>
          </w:p>
        </w:tc>
        <w:tc>
          <w:tcPr>
            <w:tcW w:w="2668" w:type="pct"/>
            <w:noWrap/>
          </w:tcPr>
          <w:p w:rsidR="00A0462F" w:rsidRPr="001763AE" w:rsidRDefault="00A0462F" w:rsidP="00A0462F">
            <w:pPr>
              <w:jc w:val="both"/>
              <w:rPr>
                <w:rFonts w:eastAsia="Arial Unicode MS" w:cs="Times New Roman"/>
                <w:color w:val="000000" w:themeColor="text1"/>
                <w:szCs w:val="20"/>
              </w:rPr>
            </w:pPr>
            <w:r w:rsidRPr="001763AE">
              <w:rPr>
                <w:rFonts w:cs="Times New Roman"/>
                <w:color w:val="000000" w:themeColor="text1"/>
                <w:szCs w:val="20"/>
              </w:rPr>
              <w:t>Ceahlău</w:t>
            </w:r>
          </w:p>
        </w:tc>
        <w:tc>
          <w:tcPr>
            <w:tcW w:w="1354" w:type="pct"/>
            <w:noWrap/>
          </w:tcPr>
          <w:p w:rsidR="00A0462F" w:rsidRPr="001763AE" w:rsidRDefault="00A0462F" w:rsidP="00A0462F">
            <w:pPr>
              <w:jc w:val="center"/>
              <w:rPr>
                <w:rFonts w:eastAsia="Arial Unicode MS" w:cs="Times New Roman"/>
                <w:color w:val="000000" w:themeColor="text1"/>
                <w:szCs w:val="20"/>
              </w:rPr>
            </w:pPr>
            <w:r w:rsidRPr="001763AE">
              <w:rPr>
                <w:rFonts w:cs="Times New Roman"/>
                <w:color w:val="000000" w:themeColor="text1"/>
                <w:szCs w:val="20"/>
              </w:rPr>
              <w:t>C</w:t>
            </w:r>
            <w:r w:rsidR="00604937" w:rsidRPr="001763AE">
              <w:rPr>
                <w:rFonts w:cs="Times New Roman"/>
                <w:color w:val="000000" w:themeColor="text1"/>
                <w:szCs w:val="20"/>
              </w:rPr>
              <w:t>ounty</w:t>
            </w:r>
            <w:r w:rsidRPr="001763AE">
              <w:rPr>
                <w:rFonts w:cs="Times New Roman"/>
                <w:color w:val="000000" w:themeColor="text1"/>
                <w:szCs w:val="20"/>
              </w:rPr>
              <w:t xml:space="preserve"> Council</w:t>
            </w:r>
          </w:p>
        </w:tc>
        <w:tc>
          <w:tcPr>
            <w:tcW w:w="770" w:type="pct"/>
            <w:noWrap/>
          </w:tcPr>
          <w:p w:rsidR="00A0462F" w:rsidRPr="001763AE" w:rsidRDefault="00A0462F" w:rsidP="00A0462F">
            <w:pPr>
              <w:jc w:val="center"/>
              <w:rPr>
                <w:rFonts w:eastAsia="Arial Unicode MS" w:cs="Times New Roman"/>
                <w:color w:val="000000" w:themeColor="text1"/>
                <w:szCs w:val="20"/>
              </w:rPr>
            </w:pPr>
            <w:r w:rsidRPr="001763AE">
              <w:rPr>
                <w:rFonts w:cs="Times New Roman"/>
                <w:color w:val="000000" w:themeColor="text1"/>
                <w:szCs w:val="20"/>
              </w:rPr>
              <w:t>8,396</w:t>
            </w:r>
            <w:r w:rsidR="006B6A18" w:rsidRPr="001763AE">
              <w:rPr>
                <w:rFonts w:cs="Times New Roman"/>
                <w:color w:val="000000" w:themeColor="text1"/>
                <w:szCs w:val="20"/>
              </w:rPr>
              <w:t>.</w:t>
            </w:r>
            <w:r w:rsidRPr="001763AE">
              <w:rPr>
                <w:rFonts w:cs="Times New Roman"/>
                <w:color w:val="000000" w:themeColor="text1"/>
                <w:szCs w:val="20"/>
              </w:rPr>
              <w:t>0</w:t>
            </w:r>
          </w:p>
        </w:tc>
      </w:tr>
      <w:tr w:rsidR="00A0462F" w:rsidRPr="001763AE" w:rsidTr="00604937">
        <w:trPr>
          <w:trHeight w:val="270"/>
        </w:trPr>
        <w:tc>
          <w:tcPr>
            <w:tcW w:w="207" w:type="pct"/>
            <w:noWrap/>
          </w:tcPr>
          <w:p w:rsidR="00A0462F" w:rsidRPr="001763AE" w:rsidRDefault="00A0462F" w:rsidP="00A0462F">
            <w:pPr>
              <w:jc w:val="both"/>
              <w:rPr>
                <w:rFonts w:eastAsia="Arial Unicode MS" w:cs="Times New Roman"/>
                <w:bCs/>
                <w:color w:val="000000" w:themeColor="text1"/>
                <w:szCs w:val="20"/>
              </w:rPr>
            </w:pPr>
            <w:r w:rsidRPr="001763AE">
              <w:rPr>
                <w:rFonts w:cs="Times New Roman"/>
                <w:bCs/>
                <w:color w:val="000000" w:themeColor="text1"/>
                <w:szCs w:val="20"/>
              </w:rPr>
              <w:t>12</w:t>
            </w:r>
          </w:p>
        </w:tc>
        <w:tc>
          <w:tcPr>
            <w:tcW w:w="2668" w:type="pct"/>
            <w:noWrap/>
          </w:tcPr>
          <w:p w:rsidR="00A0462F" w:rsidRPr="001763AE" w:rsidRDefault="00A0462F" w:rsidP="00A0462F">
            <w:pPr>
              <w:jc w:val="both"/>
              <w:rPr>
                <w:rFonts w:eastAsia="Arial Unicode MS" w:cs="Times New Roman"/>
                <w:color w:val="000000" w:themeColor="text1"/>
                <w:szCs w:val="20"/>
              </w:rPr>
            </w:pPr>
            <w:r w:rsidRPr="001763AE">
              <w:rPr>
                <w:rFonts w:cs="Times New Roman"/>
                <w:color w:val="000000" w:themeColor="text1"/>
                <w:szCs w:val="20"/>
              </w:rPr>
              <w:t>Defileul Jiului</w:t>
            </w:r>
          </w:p>
        </w:tc>
        <w:tc>
          <w:tcPr>
            <w:tcW w:w="1354" w:type="pct"/>
            <w:noWrap/>
          </w:tcPr>
          <w:p w:rsidR="00A0462F"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National Forest Administration</w:t>
            </w:r>
          </w:p>
        </w:tc>
        <w:tc>
          <w:tcPr>
            <w:tcW w:w="770" w:type="pct"/>
            <w:noWrap/>
          </w:tcPr>
          <w:p w:rsidR="00A0462F" w:rsidRPr="001763AE" w:rsidRDefault="00A0462F" w:rsidP="00A0462F">
            <w:pPr>
              <w:jc w:val="center"/>
              <w:rPr>
                <w:rFonts w:eastAsia="Arial Unicode MS" w:cs="Times New Roman"/>
                <w:color w:val="000000" w:themeColor="text1"/>
                <w:szCs w:val="20"/>
              </w:rPr>
            </w:pPr>
            <w:r w:rsidRPr="001763AE">
              <w:rPr>
                <w:rFonts w:cs="Times New Roman"/>
                <w:color w:val="000000" w:themeColor="text1"/>
                <w:szCs w:val="20"/>
              </w:rPr>
              <w:t>11,127</w:t>
            </w:r>
            <w:r w:rsidR="006B6A18" w:rsidRPr="001763AE">
              <w:rPr>
                <w:rFonts w:cs="Times New Roman"/>
                <w:color w:val="000000" w:themeColor="text1"/>
                <w:szCs w:val="20"/>
              </w:rPr>
              <w:t>.</w:t>
            </w:r>
            <w:r w:rsidRPr="001763AE">
              <w:rPr>
                <w:rFonts w:cs="Times New Roman"/>
                <w:color w:val="000000" w:themeColor="text1"/>
                <w:szCs w:val="20"/>
              </w:rPr>
              <w:t>0</w:t>
            </w:r>
          </w:p>
        </w:tc>
      </w:tr>
      <w:tr w:rsidR="00A0462F" w:rsidRPr="001763AE" w:rsidTr="00604937">
        <w:trPr>
          <w:trHeight w:val="270"/>
        </w:trPr>
        <w:tc>
          <w:tcPr>
            <w:tcW w:w="2876" w:type="pct"/>
            <w:gridSpan w:val="2"/>
            <w:noWrap/>
          </w:tcPr>
          <w:p w:rsidR="00A0462F" w:rsidRPr="001763AE" w:rsidRDefault="00A0462F" w:rsidP="00A0462F">
            <w:pPr>
              <w:jc w:val="both"/>
              <w:rPr>
                <w:rFonts w:eastAsia="Arial Unicode MS" w:cs="Times New Roman"/>
                <w:b/>
                <w:bCs/>
                <w:color w:val="000000" w:themeColor="text1"/>
                <w:szCs w:val="20"/>
              </w:rPr>
            </w:pPr>
            <w:r w:rsidRPr="001763AE">
              <w:rPr>
                <w:rFonts w:cs="Times New Roman"/>
                <w:b/>
                <w:bCs/>
                <w:color w:val="000000" w:themeColor="text1"/>
                <w:szCs w:val="20"/>
              </w:rPr>
              <w:t>Nature Parks (IUCN Category V)</w:t>
            </w:r>
          </w:p>
        </w:tc>
        <w:tc>
          <w:tcPr>
            <w:tcW w:w="1354" w:type="pct"/>
            <w:noWrap/>
          </w:tcPr>
          <w:p w:rsidR="00A0462F" w:rsidRPr="001763AE" w:rsidRDefault="00A0462F" w:rsidP="00A0462F">
            <w:pPr>
              <w:jc w:val="both"/>
              <w:rPr>
                <w:rFonts w:eastAsia="Arial Unicode MS" w:cs="Times New Roman"/>
                <w:b/>
                <w:bCs/>
                <w:color w:val="000000" w:themeColor="text1"/>
                <w:szCs w:val="20"/>
              </w:rPr>
            </w:pPr>
          </w:p>
        </w:tc>
        <w:tc>
          <w:tcPr>
            <w:tcW w:w="770" w:type="pct"/>
            <w:noWrap/>
          </w:tcPr>
          <w:p w:rsidR="00A0462F" w:rsidRPr="001763AE" w:rsidRDefault="00A0462F" w:rsidP="00A0462F">
            <w:pPr>
              <w:jc w:val="both"/>
              <w:rPr>
                <w:rFonts w:eastAsia="Arial Unicode MS" w:cs="Times New Roman"/>
                <w:color w:val="000000" w:themeColor="text1"/>
                <w:szCs w:val="20"/>
              </w:rPr>
            </w:pPr>
          </w:p>
        </w:tc>
      </w:tr>
      <w:tr w:rsidR="00604937" w:rsidRPr="001763AE" w:rsidTr="00604937">
        <w:trPr>
          <w:trHeight w:val="255"/>
        </w:trPr>
        <w:tc>
          <w:tcPr>
            <w:tcW w:w="207" w:type="pct"/>
            <w:noWrap/>
          </w:tcPr>
          <w:p w:rsidR="00604937" w:rsidRPr="001763AE" w:rsidRDefault="00604937" w:rsidP="00A0462F">
            <w:pPr>
              <w:jc w:val="both"/>
              <w:rPr>
                <w:rFonts w:eastAsia="Arial Unicode MS" w:cs="Times New Roman"/>
                <w:bCs/>
                <w:color w:val="000000" w:themeColor="text1"/>
                <w:szCs w:val="20"/>
              </w:rPr>
            </w:pPr>
            <w:r w:rsidRPr="001763AE">
              <w:rPr>
                <w:rFonts w:cs="Times New Roman"/>
                <w:bCs/>
                <w:color w:val="000000" w:themeColor="text1"/>
                <w:szCs w:val="20"/>
              </w:rPr>
              <w:t>13</w:t>
            </w:r>
          </w:p>
        </w:tc>
        <w:tc>
          <w:tcPr>
            <w:tcW w:w="2668" w:type="pct"/>
            <w:noWrap/>
          </w:tcPr>
          <w:p w:rsidR="00604937" w:rsidRPr="001763AE" w:rsidRDefault="00604937" w:rsidP="00A0462F">
            <w:pPr>
              <w:jc w:val="both"/>
              <w:rPr>
                <w:rFonts w:eastAsia="Arial Unicode MS" w:cs="Times New Roman"/>
                <w:color w:val="000000" w:themeColor="text1"/>
                <w:szCs w:val="20"/>
              </w:rPr>
            </w:pPr>
            <w:r w:rsidRPr="001763AE">
              <w:rPr>
                <w:rFonts w:cs="Times New Roman"/>
                <w:color w:val="000000" w:themeColor="text1"/>
                <w:szCs w:val="20"/>
              </w:rPr>
              <w:t>Apuseni</w:t>
            </w:r>
          </w:p>
        </w:tc>
        <w:tc>
          <w:tcPr>
            <w:tcW w:w="1354" w:type="pct"/>
            <w:noWrap/>
          </w:tcPr>
          <w:p w:rsidR="00604937" w:rsidRPr="001763AE" w:rsidRDefault="00604937">
            <w:r w:rsidRPr="001763AE">
              <w:rPr>
                <w:rFonts w:cs="Times New Roman"/>
                <w:color w:val="000000" w:themeColor="text1"/>
                <w:szCs w:val="20"/>
              </w:rPr>
              <w:t xml:space="preserve">National Forest Administration </w:t>
            </w:r>
          </w:p>
        </w:tc>
        <w:tc>
          <w:tcPr>
            <w:tcW w:w="770" w:type="pct"/>
            <w:noWrap/>
          </w:tcPr>
          <w:p w:rsidR="00604937"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75,784</w:t>
            </w:r>
            <w:r w:rsidR="006B6A18" w:rsidRPr="001763AE">
              <w:rPr>
                <w:rFonts w:cs="Times New Roman"/>
                <w:color w:val="000000" w:themeColor="text1"/>
                <w:szCs w:val="20"/>
              </w:rPr>
              <w:t>.</w:t>
            </w:r>
            <w:r w:rsidRPr="001763AE">
              <w:rPr>
                <w:rFonts w:cs="Times New Roman"/>
                <w:color w:val="000000" w:themeColor="text1"/>
                <w:szCs w:val="20"/>
              </w:rPr>
              <w:t>0</w:t>
            </w:r>
          </w:p>
        </w:tc>
      </w:tr>
      <w:tr w:rsidR="00604937" w:rsidRPr="001763AE" w:rsidTr="00604937">
        <w:trPr>
          <w:trHeight w:val="255"/>
        </w:trPr>
        <w:tc>
          <w:tcPr>
            <w:tcW w:w="207" w:type="pct"/>
            <w:noWrap/>
          </w:tcPr>
          <w:p w:rsidR="00604937" w:rsidRPr="001763AE" w:rsidRDefault="00604937" w:rsidP="00A0462F">
            <w:pPr>
              <w:jc w:val="both"/>
              <w:rPr>
                <w:rFonts w:eastAsia="Arial Unicode MS" w:cs="Times New Roman"/>
                <w:bCs/>
                <w:color w:val="000000" w:themeColor="text1"/>
                <w:szCs w:val="20"/>
              </w:rPr>
            </w:pPr>
            <w:r w:rsidRPr="001763AE">
              <w:rPr>
                <w:rFonts w:cs="Times New Roman"/>
                <w:bCs/>
                <w:color w:val="000000" w:themeColor="text1"/>
                <w:szCs w:val="20"/>
              </w:rPr>
              <w:t>14</w:t>
            </w:r>
          </w:p>
        </w:tc>
        <w:tc>
          <w:tcPr>
            <w:tcW w:w="2668" w:type="pct"/>
            <w:noWrap/>
          </w:tcPr>
          <w:p w:rsidR="00604937" w:rsidRPr="001763AE" w:rsidRDefault="00604937" w:rsidP="00A0462F">
            <w:pPr>
              <w:jc w:val="both"/>
              <w:rPr>
                <w:rFonts w:eastAsia="Arial Unicode MS" w:cs="Times New Roman"/>
                <w:color w:val="000000" w:themeColor="text1"/>
                <w:szCs w:val="20"/>
              </w:rPr>
            </w:pPr>
            <w:r w:rsidRPr="001763AE">
              <w:rPr>
                <w:rFonts w:cs="Times New Roman"/>
                <w:color w:val="000000" w:themeColor="text1"/>
                <w:szCs w:val="20"/>
              </w:rPr>
              <w:t>Bucegi</w:t>
            </w:r>
          </w:p>
        </w:tc>
        <w:tc>
          <w:tcPr>
            <w:tcW w:w="1354" w:type="pct"/>
            <w:noWrap/>
          </w:tcPr>
          <w:p w:rsidR="00604937" w:rsidRPr="001763AE" w:rsidRDefault="00604937">
            <w:r w:rsidRPr="001763AE">
              <w:rPr>
                <w:rFonts w:cs="Times New Roman"/>
                <w:color w:val="000000" w:themeColor="text1"/>
                <w:szCs w:val="20"/>
              </w:rPr>
              <w:t xml:space="preserve">National Forest Administration </w:t>
            </w:r>
          </w:p>
        </w:tc>
        <w:tc>
          <w:tcPr>
            <w:tcW w:w="770" w:type="pct"/>
            <w:noWrap/>
          </w:tcPr>
          <w:p w:rsidR="00604937"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32,663</w:t>
            </w:r>
            <w:r w:rsidR="006B6A18" w:rsidRPr="001763AE">
              <w:rPr>
                <w:rFonts w:cs="Times New Roman"/>
                <w:color w:val="000000" w:themeColor="text1"/>
                <w:szCs w:val="20"/>
              </w:rPr>
              <w:t>.</w:t>
            </w:r>
            <w:r w:rsidRPr="001763AE">
              <w:rPr>
                <w:rFonts w:cs="Times New Roman"/>
                <w:color w:val="000000" w:themeColor="text1"/>
                <w:szCs w:val="20"/>
              </w:rPr>
              <w:t>0</w:t>
            </w:r>
          </w:p>
        </w:tc>
      </w:tr>
      <w:tr w:rsidR="00604937" w:rsidRPr="001763AE" w:rsidTr="00604937">
        <w:trPr>
          <w:trHeight w:val="260"/>
        </w:trPr>
        <w:tc>
          <w:tcPr>
            <w:tcW w:w="207" w:type="pct"/>
            <w:noWrap/>
          </w:tcPr>
          <w:p w:rsidR="00604937" w:rsidRPr="001763AE" w:rsidRDefault="00604937" w:rsidP="00A0462F">
            <w:pPr>
              <w:jc w:val="both"/>
              <w:rPr>
                <w:rFonts w:eastAsia="Arial Unicode MS" w:cs="Times New Roman"/>
                <w:bCs/>
                <w:color w:val="000000" w:themeColor="text1"/>
                <w:szCs w:val="20"/>
              </w:rPr>
            </w:pPr>
            <w:r w:rsidRPr="001763AE">
              <w:rPr>
                <w:rFonts w:cs="Times New Roman"/>
                <w:bCs/>
                <w:color w:val="000000" w:themeColor="text1"/>
                <w:szCs w:val="20"/>
              </w:rPr>
              <w:t>15</w:t>
            </w:r>
          </w:p>
        </w:tc>
        <w:tc>
          <w:tcPr>
            <w:tcW w:w="2668" w:type="pct"/>
          </w:tcPr>
          <w:p w:rsidR="00604937" w:rsidRPr="001763AE" w:rsidRDefault="00604937" w:rsidP="00A0462F">
            <w:pPr>
              <w:jc w:val="both"/>
              <w:rPr>
                <w:rFonts w:eastAsia="Arial Unicode MS" w:cs="Times New Roman"/>
                <w:color w:val="000000" w:themeColor="text1"/>
                <w:szCs w:val="20"/>
              </w:rPr>
            </w:pPr>
            <w:r w:rsidRPr="001763AE">
              <w:rPr>
                <w:rFonts w:cs="Times New Roman"/>
                <w:color w:val="000000" w:themeColor="text1"/>
                <w:szCs w:val="20"/>
              </w:rPr>
              <w:t>Grădiştea Muncelului - Cioclovina</w:t>
            </w:r>
          </w:p>
        </w:tc>
        <w:tc>
          <w:tcPr>
            <w:tcW w:w="1354" w:type="pct"/>
            <w:noWrap/>
          </w:tcPr>
          <w:p w:rsidR="00604937" w:rsidRPr="001763AE" w:rsidRDefault="00604937">
            <w:r w:rsidRPr="001763AE">
              <w:rPr>
                <w:rFonts w:cs="Times New Roman"/>
                <w:color w:val="000000" w:themeColor="text1"/>
                <w:szCs w:val="20"/>
              </w:rPr>
              <w:t xml:space="preserve">National Forest Administration </w:t>
            </w:r>
          </w:p>
        </w:tc>
        <w:tc>
          <w:tcPr>
            <w:tcW w:w="770" w:type="pct"/>
            <w:noWrap/>
          </w:tcPr>
          <w:p w:rsidR="00604937"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38,184</w:t>
            </w:r>
            <w:r w:rsidR="006B6A18" w:rsidRPr="001763AE">
              <w:rPr>
                <w:rFonts w:cs="Times New Roman"/>
                <w:color w:val="000000" w:themeColor="text1"/>
                <w:szCs w:val="20"/>
              </w:rPr>
              <w:t>.</w:t>
            </w:r>
            <w:r w:rsidRPr="001763AE">
              <w:rPr>
                <w:rFonts w:cs="Times New Roman"/>
                <w:color w:val="000000" w:themeColor="text1"/>
                <w:szCs w:val="20"/>
              </w:rPr>
              <w:t>0</w:t>
            </w:r>
          </w:p>
        </w:tc>
      </w:tr>
      <w:tr w:rsidR="00604937" w:rsidRPr="001763AE" w:rsidTr="00604937">
        <w:trPr>
          <w:trHeight w:val="255"/>
        </w:trPr>
        <w:tc>
          <w:tcPr>
            <w:tcW w:w="207" w:type="pct"/>
            <w:noWrap/>
          </w:tcPr>
          <w:p w:rsidR="00604937" w:rsidRPr="001763AE" w:rsidRDefault="00604937" w:rsidP="00A0462F">
            <w:pPr>
              <w:jc w:val="both"/>
              <w:rPr>
                <w:rFonts w:eastAsia="Arial Unicode MS" w:cs="Times New Roman"/>
                <w:bCs/>
                <w:color w:val="000000" w:themeColor="text1"/>
                <w:szCs w:val="20"/>
              </w:rPr>
            </w:pPr>
            <w:r w:rsidRPr="001763AE">
              <w:rPr>
                <w:rFonts w:cs="Times New Roman"/>
                <w:bCs/>
                <w:color w:val="000000" w:themeColor="text1"/>
                <w:szCs w:val="20"/>
              </w:rPr>
              <w:t>16</w:t>
            </w:r>
          </w:p>
        </w:tc>
        <w:tc>
          <w:tcPr>
            <w:tcW w:w="2668" w:type="pct"/>
            <w:noWrap/>
          </w:tcPr>
          <w:p w:rsidR="00604937" w:rsidRPr="001763AE" w:rsidRDefault="00604937" w:rsidP="00A0462F">
            <w:pPr>
              <w:jc w:val="both"/>
              <w:rPr>
                <w:rFonts w:eastAsia="Arial Unicode MS" w:cs="Times New Roman"/>
                <w:color w:val="000000" w:themeColor="text1"/>
                <w:szCs w:val="20"/>
              </w:rPr>
            </w:pPr>
            <w:r w:rsidRPr="001763AE">
              <w:rPr>
                <w:rFonts w:cs="Times New Roman"/>
                <w:color w:val="000000" w:themeColor="text1"/>
                <w:szCs w:val="20"/>
              </w:rPr>
              <w:t>Porţile De Fier</w:t>
            </w:r>
          </w:p>
        </w:tc>
        <w:tc>
          <w:tcPr>
            <w:tcW w:w="1354" w:type="pct"/>
            <w:noWrap/>
          </w:tcPr>
          <w:p w:rsidR="00604937" w:rsidRPr="001763AE" w:rsidRDefault="00604937">
            <w:r w:rsidRPr="001763AE">
              <w:rPr>
                <w:rFonts w:cs="Times New Roman"/>
                <w:color w:val="000000" w:themeColor="text1"/>
                <w:szCs w:val="20"/>
              </w:rPr>
              <w:t xml:space="preserve">National Forest Administration </w:t>
            </w:r>
          </w:p>
        </w:tc>
        <w:tc>
          <w:tcPr>
            <w:tcW w:w="770" w:type="pct"/>
            <w:noWrap/>
          </w:tcPr>
          <w:p w:rsidR="00604937"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115,655</w:t>
            </w:r>
            <w:r w:rsidR="006B6A18" w:rsidRPr="001763AE">
              <w:rPr>
                <w:rFonts w:cs="Times New Roman"/>
                <w:color w:val="000000" w:themeColor="text1"/>
                <w:szCs w:val="20"/>
              </w:rPr>
              <w:t>.</w:t>
            </w:r>
            <w:r w:rsidRPr="001763AE">
              <w:rPr>
                <w:rFonts w:cs="Times New Roman"/>
                <w:color w:val="000000" w:themeColor="text1"/>
                <w:szCs w:val="20"/>
              </w:rPr>
              <w:t>0</w:t>
            </w:r>
          </w:p>
        </w:tc>
      </w:tr>
      <w:tr w:rsidR="00604937" w:rsidRPr="001763AE" w:rsidTr="00604937">
        <w:trPr>
          <w:trHeight w:val="255"/>
        </w:trPr>
        <w:tc>
          <w:tcPr>
            <w:tcW w:w="207" w:type="pct"/>
            <w:noWrap/>
          </w:tcPr>
          <w:p w:rsidR="00604937" w:rsidRPr="001763AE" w:rsidRDefault="00604937" w:rsidP="00A0462F">
            <w:pPr>
              <w:jc w:val="both"/>
              <w:rPr>
                <w:rFonts w:eastAsia="Arial Unicode MS" w:cs="Times New Roman"/>
                <w:bCs/>
                <w:color w:val="000000" w:themeColor="text1"/>
                <w:szCs w:val="20"/>
              </w:rPr>
            </w:pPr>
            <w:r w:rsidRPr="001763AE">
              <w:rPr>
                <w:rFonts w:cs="Times New Roman"/>
                <w:bCs/>
                <w:color w:val="000000" w:themeColor="text1"/>
                <w:szCs w:val="20"/>
              </w:rPr>
              <w:t>17</w:t>
            </w:r>
          </w:p>
        </w:tc>
        <w:tc>
          <w:tcPr>
            <w:tcW w:w="2668" w:type="pct"/>
            <w:noWrap/>
          </w:tcPr>
          <w:p w:rsidR="00604937" w:rsidRPr="001763AE" w:rsidRDefault="00604937" w:rsidP="00A0462F">
            <w:pPr>
              <w:jc w:val="both"/>
              <w:rPr>
                <w:rFonts w:eastAsia="Arial Unicode MS" w:cs="Times New Roman"/>
                <w:color w:val="000000" w:themeColor="text1"/>
                <w:szCs w:val="20"/>
              </w:rPr>
            </w:pPr>
            <w:r w:rsidRPr="001763AE">
              <w:rPr>
                <w:rFonts w:cs="Times New Roman"/>
                <w:color w:val="000000" w:themeColor="text1"/>
                <w:szCs w:val="20"/>
              </w:rPr>
              <w:t>Vânători Neamţ</w:t>
            </w:r>
          </w:p>
        </w:tc>
        <w:tc>
          <w:tcPr>
            <w:tcW w:w="1354" w:type="pct"/>
            <w:noWrap/>
          </w:tcPr>
          <w:p w:rsidR="00604937" w:rsidRPr="001763AE" w:rsidRDefault="00604937">
            <w:r w:rsidRPr="001763AE">
              <w:rPr>
                <w:rFonts w:cs="Times New Roman"/>
                <w:color w:val="000000" w:themeColor="text1"/>
                <w:szCs w:val="20"/>
              </w:rPr>
              <w:t xml:space="preserve">National Forest Administration </w:t>
            </w:r>
          </w:p>
        </w:tc>
        <w:tc>
          <w:tcPr>
            <w:tcW w:w="770" w:type="pct"/>
            <w:noWrap/>
          </w:tcPr>
          <w:p w:rsidR="00604937"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30,818</w:t>
            </w:r>
            <w:r w:rsidR="006B6A18" w:rsidRPr="001763AE">
              <w:rPr>
                <w:rFonts w:cs="Times New Roman"/>
                <w:color w:val="000000" w:themeColor="text1"/>
                <w:szCs w:val="20"/>
              </w:rPr>
              <w:t>.</w:t>
            </w:r>
            <w:r w:rsidRPr="001763AE">
              <w:rPr>
                <w:rFonts w:cs="Times New Roman"/>
                <w:color w:val="000000" w:themeColor="text1"/>
                <w:szCs w:val="20"/>
              </w:rPr>
              <w:t>0</w:t>
            </w:r>
          </w:p>
        </w:tc>
      </w:tr>
      <w:tr w:rsidR="00604937" w:rsidRPr="001763AE" w:rsidTr="00604937">
        <w:trPr>
          <w:trHeight w:val="255"/>
        </w:trPr>
        <w:tc>
          <w:tcPr>
            <w:tcW w:w="207" w:type="pct"/>
            <w:noWrap/>
          </w:tcPr>
          <w:p w:rsidR="00604937" w:rsidRPr="001763AE" w:rsidRDefault="00604937" w:rsidP="00A0462F">
            <w:pPr>
              <w:jc w:val="both"/>
              <w:rPr>
                <w:rFonts w:eastAsia="Arial Unicode MS" w:cs="Times New Roman"/>
                <w:bCs/>
                <w:color w:val="000000" w:themeColor="text1"/>
                <w:szCs w:val="20"/>
              </w:rPr>
            </w:pPr>
            <w:r w:rsidRPr="001763AE">
              <w:rPr>
                <w:rFonts w:cs="Times New Roman"/>
                <w:bCs/>
                <w:color w:val="000000" w:themeColor="text1"/>
                <w:szCs w:val="20"/>
              </w:rPr>
              <w:t>18</w:t>
            </w:r>
          </w:p>
        </w:tc>
        <w:tc>
          <w:tcPr>
            <w:tcW w:w="2668" w:type="pct"/>
            <w:noWrap/>
          </w:tcPr>
          <w:p w:rsidR="00604937" w:rsidRPr="001763AE" w:rsidRDefault="00604937" w:rsidP="00A0462F">
            <w:pPr>
              <w:jc w:val="both"/>
              <w:rPr>
                <w:rFonts w:eastAsia="Arial Unicode MS" w:cs="Times New Roman"/>
                <w:color w:val="000000" w:themeColor="text1"/>
                <w:szCs w:val="20"/>
              </w:rPr>
            </w:pPr>
            <w:r w:rsidRPr="001763AE">
              <w:rPr>
                <w:rFonts w:cs="Times New Roman"/>
                <w:color w:val="000000" w:themeColor="text1"/>
                <w:szCs w:val="20"/>
              </w:rPr>
              <w:t>Munţii Maramureşului</w:t>
            </w:r>
          </w:p>
        </w:tc>
        <w:tc>
          <w:tcPr>
            <w:tcW w:w="1354" w:type="pct"/>
            <w:noWrap/>
          </w:tcPr>
          <w:p w:rsidR="00604937" w:rsidRPr="001763AE" w:rsidRDefault="00604937">
            <w:r w:rsidRPr="001763AE">
              <w:rPr>
                <w:rFonts w:cs="Times New Roman"/>
                <w:color w:val="000000" w:themeColor="text1"/>
                <w:szCs w:val="20"/>
              </w:rPr>
              <w:t xml:space="preserve">National Forest Administration </w:t>
            </w:r>
          </w:p>
        </w:tc>
        <w:tc>
          <w:tcPr>
            <w:tcW w:w="770" w:type="pct"/>
            <w:noWrap/>
          </w:tcPr>
          <w:p w:rsidR="00604937"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148,850</w:t>
            </w:r>
            <w:r w:rsidR="006B6A18" w:rsidRPr="001763AE">
              <w:rPr>
                <w:rFonts w:cs="Times New Roman"/>
                <w:color w:val="000000" w:themeColor="text1"/>
                <w:szCs w:val="20"/>
              </w:rPr>
              <w:t>.</w:t>
            </w:r>
            <w:r w:rsidRPr="001763AE">
              <w:rPr>
                <w:rFonts w:cs="Times New Roman"/>
                <w:color w:val="000000" w:themeColor="text1"/>
                <w:szCs w:val="20"/>
              </w:rPr>
              <w:t>0</w:t>
            </w:r>
          </w:p>
        </w:tc>
      </w:tr>
      <w:tr w:rsidR="00604937" w:rsidRPr="001763AE" w:rsidTr="00604937">
        <w:trPr>
          <w:trHeight w:val="255"/>
        </w:trPr>
        <w:tc>
          <w:tcPr>
            <w:tcW w:w="207" w:type="pct"/>
            <w:noWrap/>
          </w:tcPr>
          <w:p w:rsidR="00604937" w:rsidRPr="001763AE" w:rsidRDefault="00604937" w:rsidP="00A0462F">
            <w:pPr>
              <w:jc w:val="both"/>
              <w:rPr>
                <w:rFonts w:eastAsia="Arial Unicode MS" w:cs="Times New Roman"/>
                <w:bCs/>
                <w:color w:val="000000" w:themeColor="text1"/>
                <w:szCs w:val="20"/>
              </w:rPr>
            </w:pPr>
            <w:r w:rsidRPr="001763AE">
              <w:rPr>
                <w:rFonts w:cs="Times New Roman"/>
                <w:bCs/>
                <w:color w:val="000000" w:themeColor="text1"/>
                <w:szCs w:val="20"/>
              </w:rPr>
              <w:t>19</w:t>
            </w:r>
          </w:p>
        </w:tc>
        <w:tc>
          <w:tcPr>
            <w:tcW w:w="2668" w:type="pct"/>
            <w:noWrap/>
          </w:tcPr>
          <w:p w:rsidR="00604937" w:rsidRPr="001763AE" w:rsidRDefault="00604937" w:rsidP="00A0462F">
            <w:pPr>
              <w:jc w:val="both"/>
              <w:rPr>
                <w:rFonts w:eastAsia="Arial Unicode MS" w:cs="Times New Roman"/>
                <w:color w:val="000000" w:themeColor="text1"/>
                <w:szCs w:val="20"/>
              </w:rPr>
            </w:pPr>
            <w:r w:rsidRPr="001763AE">
              <w:rPr>
                <w:rFonts w:cs="Times New Roman"/>
                <w:color w:val="000000" w:themeColor="text1"/>
                <w:szCs w:val="20"/>
              </w:rPr>
              <w:t>Putna – Vrancea</w:t>
            </w:r>
          </w:p>
        </w:tc>
        <w:tc>
          <w:tcPr>
            <w:tcW w:w="1354" w:type="pct"/>
            <w:noWrap/>
          </w:tcPr>
          <w:p w:rsidR="00604937" w:rsidRPr="001763AE" w:rsidRDefault="00604937">
            <w:r w:rsidRPr="001763AE">
              <w:rPr>
                <w:rFonts w:cs="Times New Roman"/>
                <w:color w:val="000000" w:themeColor="text1"/>
                <w:szCs w:val="20"/>
              </w:rPr>
              <w:t xml:space="preserve">National Forest Administration </w:t>
            </w:r>
          </w:p>
        </w:tc>
        <w:tc>
          <w:tcPr>
            <w:tcW w:w="770" w:type="pct"/>
            <w:noWrap/>
          </w:tcPr>
          <w:p w:rsidR="00604937" w:rsidRPr="001763AE" w:rsidRDefault="00604937" w:rsidP="00A0462F">
            <w:pPr>
              <w:jc w:val="center"/>
              <w:rPr>
                <w:rFonts w:eastAsia="Arial Unicode MS" w:cs="Times New Roman"/>
                <w:color w:val="000000" w:themeColor="text1"/>
                <w:szCs w:val="20"/>
              </w:rPr>
            </w:pPr>
            <w:r w:rsidRPr="001763AE">
              <w:rPr>
                <w:rFonts w:cs="Times New Roman"/>
                <w:color w:val="000000" w:themeColor="text1"/>
                <w:szCs w:val="20"/>
              </w:rPr>
              <w:t>38,204</w:t>
            </w:r>
            <w:r w:rsidR="006B6A18" w:rsidRPr="001763AE">
              <w:rPr>
                <w:rFonts w:cs="Times New Roman"/>
                <w:color w:val="000000" w:themeColor="text1"/>
                <w:szCs w:val="20"/>
              </w:rPr>
              <w:t>.</w:t>
            </w:r>
            <w:r w:rsidRPr="001763AE">
              <w:rPr>
                <w:rFonts w:cs="Times New Roman"/>
                <w:color w:val="000000" w:themeColor="text1"/>
                <w:szCs w:val="20"/>
              </w:rPr>
              <w:t>0</w:t>
            </w:r>
          </w:p>
        </w:tc>
      </w:tr>
      <w:tr w:rsidR="00A0462F" w:rsidRPr="001763AE" w:rsidTr="00604937">
        <w:trPr>
          <w:trHeight w:val="268"/>
        </w:trPr>
        <w:tc>
          <w:tcPr>
            <w:tcW w:w="207" w:type="pct"/>
            <w:noWrap/>
          </w:tcPr>
          <w:p w:rsidR="00A0462F" w:rsidRPr="001763AE" w:rsidRDefault="00A0462F" w:rsidP="00A0462F">
            <w:pPr>
              <w:jc w:val="both"/>
              <w:rPr>
                <w:rFonts w:eastAsia="Arial Unicode MS" w:cs="Times New Roman"/>
                <w:bCs/>
                <w:color w:val="000000" w:themeColor="text1"/>
                <w:szCs w:val="20"/>
              </w:rPr>
            </w:pPr>
            <w:r w:rsidRPr="001763AE">
              <w:rPr>
                <w:rFonts w:cs="Times New Roman"/>
                <w:bCs/>
                <w:color w:val="000000" w:themeColor="text1"/>
                <w:szCs w:val="20"/>
              </w:rPr>
              <w:t>20</w:t>
            </w:r>
          </w:p>
        </w:tc>
        <w:tc>
          <w:tcPr>
            <w:tcW w:w="2668" w:type="pct"/>
          </w:tcPr>
          <w:p w:rsidR="00A0462F" w:rsidRPr="001763AE" w:rsidRDefault="00A0462F" w:rsidP="00A0462F">
            <w:pPr>
              <w:jc w:val="both"/>
              <w:rPr>
                <w:rFonts w:eastAsia="Arial Unicode MS" w:cs="Times New Roman"/>
                <w:color w:val="000000" w:themeColor="text1"/>
                <w:szCs w:val="20"/>
              </w:rPr>
            </w:pPr>
            <w:r w:rsidRPr="001763AE">
              <w:rPr>
                <w:rFonts w:cs="Times New Roman"/>
                <w:color w:val="000000" w:themeColor="text1"/>
                <w:szCs w:val="20"/>
              </w:rPr>
              <w:t>Geoparcul Dinozaurilor Ţara H</w:t>
            </w:r>
            <w:r w:rsidR="00427F20" w:rsidRPr="001763AE">
              <w:rPr>
                <w:rFonts w:cs="Times New Roman"/>
                <w:color w:val="000000" w:themeColor="text1"/>
                <w:szCs w:val="20"/>
              </w:rPr>
              <w:t xml:space="preserve">. </w:t>
            </w:r>
          </w:p>
        </w:tc>
        <w:tc>
          <w:tcPr>
            <w:tcW w:w="1354" w:type="pct"/>
          </w:tcPr>
          <w:p w:rsidR="00A0462F" w:rsidRPr="001763AE" w:rsidRDefault="00A0462F" w:rsidP="00604937">
            <w:pPr>
              <w:jc w:val="center"/>
              <w:rPr>
                <w:rFonts w:eastAsia="Arial Unicode MS" w:cs="Times New Roman"/>
                <w:color w:val="000000" w:themeColor="text1"/>
                <w:szCs w:val="20"/>
              </w:rPr>
            </w:pPr>
            <w:r w:rsidRPr="001763AE">
              <w:rPr>
                <w:rFonts w:cs="Times New Roman"/>
                <w:color w:val="000000" w:themeColor="text1"/>
                <w:szCs w:val="20"/>
              </w:rPr>
              <w:t>U</w:t>
            </w:r>
            <w:r w:rsidR="00604937" w:rsidRPr="001763AE">
              <w:rPr>
                <w:rFonts w:cs="Times New Roman"/>
                <w:color w:val="000000" w:themeColor="text1"/>
                <w:szCs w:val="20"/>
              </w:rPr>
              <w:t>niversity of</w:t>
            </w:r>
            <w:r w:rsidRPr="001763AE">
              <w:rPr>
                <w:rFonts w:cs="Times New Roman"/>
                <w:color w:val="000000" w:themeColor="text1"/>
                <w:szCs w:val="20"/>
              </w:rPr>
              <w:t xml:space="preserve"> Bucharest</w:t>
            </w:r>
          </w:p>
        </w:tc>
        <w:tc>
          <w:tcPr>
            <w:tcW w:w="770" w:type="pct"/>
            <w:noWrap/>
          </w:tcPr>
          <w:p w:rsidR="00A0462F" w:rsidRPr="001763AE" w:rsidRDefault="00A0462F" w:rsidP="00A0462F">
            <w:pPr>
              <w:jc w:val="center"/>
              <w:rPr>
                <w:rFonts w:eastAsia="Arial Unicode MS" w:cs="Times New Roman"/>
                <w:color w:val="000000" w:themeColor="text1"/>
                <w:szCs w:val="20"/>
              </w:rPr>
            </w:pPr>
            <w:r w:rsidRPr="001763AE">
              <w:rPr>
                <w:rFonts w:cs="Times New Roman"/>
                <w:color w:val="000000" w:themeColor="text1"/>
                <w:szCs w:val="20"/>
              </w:rPr>
              <w:t>102,392</w:t>
            </w:r>
            <w:r w:rsidR="006B6A18" w:rsidRPr="001763AE">
              <w:rPr>
                <w:rFonts w:cs="Times New Roman"/>
                <w:color w:val="000000" w:themeColor="text1"/>
                <w:szCs w:val="20"/>
              </w:rPr>
              <w:t>.</w:t>
            </w:r>
            <w:r w:rsidRPr="001763AE">
              <w:rPr>
                <w:rFonts w:cs="Times New Roman"/>
                <w:color w:val="000000" w:themeColor="text1"/>
                <w:szCs w:val="20"/>
              </w:rPr>
              <w:t>0</w:t>
            </w:r>
          </w:p>
        </w:tc>
      </w:tr>
      <w:tr w:rsidR="00A0462F" w:rsidRPr="001763AE" w:rsidTr="00604937">
        <w:trPr>
          <w:trHeight w:val="258"/>
        </w:trPr>
        <w:tc>
          <w:tcPr>
            <w:tcW w:w="207" w:type="pct"/>
            <w:noWrap/>
          </w:tcPr>
          <w:p w:rsidR="00A0462F" w:rsidRPr="001763AE" w:rsidRDefault="00A0462F" w:rsidP="00A0462F">
            <w:pPr>
              <w:jc w:val="both"/>
              <w:rPr>
                <w:rFonts w:eastAsia="Arial Unicode MS" w:cs="Times New Roman"/>
                <w:bCs/>
                <w:color w:val="000000" w:themeColor="text1"/>
                <w:szCs w:val="20"/>
              </w:rPr>
            </w:pPr>
            <w:r w:rsidRPr="001763AE">
              <w:rPr>
                <w:rFonts w:cs="Times New Roman"/>
                <w:bCs/>
                <w:color w:val="000000" w:themeColor="text1"/>
                <w:szCs w:val="20"/>
              </w:rPr>
              <w:t>21</w:t>
            </w:r>
          </w:p>
        </w:tc>
        <w:tc>
          <w:tcPr>
            <w:tcW w:w="2668" w:type="pct"/>
          </w:tcPr>
          <w:p w:rsidR="00A0462F" w:rsidRPr="001763AE" w:rsidRDefault="00A0462F" w:rsidP="00A0462F">
            <w:pPr>
              <w:jc w:val="both"/>
              <w:rPr>
                <w:rFonts w:eastAsia="Arial Unicode MS" w:cs="Times New Roman"/>
                <w:color w:val="000000" w:themeColor="text1"/>
                <w:szCs w:val="20"/>
              </w:rPr>
            </w:pPr>
            <w:r w:rsidRPr="001763AE">
              <w:rPr>
                <w:rFonts w:cs="Times New Roman"/>
                <w:color w:val="000000" w:themeColor="text1"/>
                <w:szCs w:val="20"/>
              </w:rPr>
              <w:t>Geoparcul Platoul Mehedinţi</w:t>
            </w:r>
          </w:p>
        </w:tc>
        <w:tc>
          <w:tcPr>
            <w:tcW w:w="1354" w:type="pct"/>
            <w:noWrap/>
          </w:tcPr>
          <w:p w:rsidR="00A0462F" w:rsidRPr="001763AE" w:rsidRDefault="00A0462F" w:rsidP="00A0462F">
            <w:pPr>
              <w:jc w:val="center"/>
              <w:rPr>
                <w:rFonts w:eastAsia="Arial Unicode MS" w:cs="Times New Roman"/>
                <w:color w:val="000000" w:themeColor="text1"/>
                <w:szCs w:val="20"/>
              </w:rPr>
            </w:pPr>
            <w:r w:rsidRPr="001763AE">
              <w:rPr>
                <w:rFonts w:cs="Times New Roman"/>
                <w:color w:val="000000" w:themeColor="text1"/>
                <w:szCs w:val="20"/>
              </w:rPr>
              <w:t>C</w:t>
            </w:r>
            <w:r w:rsidR="00604937" w:rsidRPr="001763AE">
              <w:rPr>
                <w:rFonts w:cs="Times New Roman"/>
                <w:color w:val="000000" w:themeColor="text1"/>
                <w:szCs w:val="20"/>
              </w:rPr>
              <w:t>ountry</w:t>
            </w:r>
            <w:r w:rsidRPr="001763AE">
              <w:rPr>
                <w:rFonts w:cs="Times New Roman"/>
                <w:color w:val="000000" w:themeColor="text1"/>
                <w:szCs w:val="20"/>
              </w:rPr>
              <w:t xml:space="preserve"> Council</w:t>
            </w:r>
          </w:p>
        </w:tc>
        <w:tc>
          <w:tcPr>
            <w:tcW w:w="770" w:type="pct"/>
            <w:noWrap/>
          </w:tcPr>
          <w:p w:rsidR="00A0462F" w:rsidRPr="001763AE" w:rsidRDefault="00A0462F" w:rsidP="00A0462F">
            <w:pPr>
              <w:jc w:val="center"/>
              <w:rPr>
                <w:rFonts w:eastAsia="Arial Unicode MS" w:cs="Times New Roman"/>
                <w:color w:val="000000" w:themeColor="text1"/>
                <w:szCs w:val="20"/>
              </w:rPr>
            </w:pPr>
            <w:r w:rsidRPr="001763AE">
              <w:rPr>
                <w:rFonts w:cs="Times New Roman"/>
                <w:color w:val="000000" w:themeColor="text1"/>
                <w:szCs w:val="20"/>
              </w:rPr>
              <w:t>106,000</w:t>
            </w:r>
            <w:r w:rsidR="00583265" w:rsidRPr="001763AE">
              <w:rPr>
                <w:rFonts w:cs="Times New Roman"/>
                <w:color w:val="000000" w:themeColor="text1"/>
                <w:szCs w:val="20"/>
              </w:rPr>
              <w:t>.</w:t>
            </w:r>
            <w:r w:rsidRPr="001763AE">
              <w:rPr>
                <w:rFonts w:cs="Times New Roman"/>
                <w:color w:val="000000" w:themeColor="text1"/>
                <w:szCs w:val="20"/>
              </w:rPr>
              <w:t>0</w:t>
            </w:r>
          </w:p>
        </w:tc>
      </w:tr>
      <w:tr w:rsidR="00A0462F" w:rsidRPr="001763AE" w:rsidTr="00604937">
        <w:trPr>
          <w:trHeight w:val="276"/>
        </w:trPr>
        <w:tc>
          <w:tcPr>
            <w:tcW w:w="207" w:type="pct"/>
            <w:noWrap/>
          </w:tcPr>
          <w:p w:rsidR="00A0462F" w:rsidRPr="001763AE" w:rsidRDefault="00A0462F" w:rsidP="00A0462F">
            <w:pPr>
              <w:jc w:val="both"/>
              <w:rPr>
                <w:rFonts w:eastAsia="Arial Unicode MS" w:cs="Times New Roman"/>
                <w:bCs/>
                <w:color w:val="000000" w:themeColor="text1"/>
                <w:szCs w:val="20"/>
              </w:rPr>
            </w:pPr>
            <w:r w:rsidRPr="001763AE">
              <w:rPr>
                <w:rFonts w:cs="Times New Roman"/>
                <w:bCs/>
                <w:color w:val="000000" w:themeColor="text1"/>
                <w:szCs w:val="20"/>
              </w:rPr>
              <w:t>22</w:t>
            </w:r>
          </w:p>
        </w:tc>
        <w:tc>
          <w:tcPr>
            <w:tcW w:w="2668" w:type="pct"/>
          </w:tcPr>
          <w:p w:rsidR="00A0462F" w:rsidRPr="001763AE" w:rsidRDefault="00A0462F" w:rsidP="00A0462F">
            <w:pPr>
              <w:jc w:val="both"/>
              <w:rPr>
                <w:rFonts w:eastAsia="Arial Unicode MS" w:cs="Times New Roman"/>
                <w:color w:val="000000" w:themeColor="text1"/>
                <w:szCs w:val="20"/>
              </w:rPr>
            </w:pPr>
            <w:r w:rsidRPr="001763AE">
              <w:rPr>
                <w:rFonts w:cs="Times New Roman"/>
                <w:color w:val="000000" w:themeColor="text1"/>
                <w:szCs w:val="20"/>
              </w:rPr>
              <w:t>Defileul Mureşului Superior</w:t>
            </w:r>
          </w:p>
        </w:tc>
        <w:tc>
          <w:tcPr>
            <w:tcW w:w="1354" w:type="pct"/>
          </w:tcPr>
          <w:p w:rsidR="00A0462F" w:rsidRPr="001763AE" w:rsidRDefault="00A0462F" w:rsidP="00A0462F">
            <w:pPr>
              <w:jc w:val="center"/>
              <w:rPr>
                <w:rFonts w:eastAsia="Arial Unicode MS" w:cs="Times New Roman"/>
                <w:color w:val="000000" w:themeColor="text1"/>
                <w:szCs w:val="20"/>
              </w:rPr>
            </w:pPr>
            <w:r w:rsidRPr="001763AE">
              <w:rPr>
                <w:rFonts w:cs="Times New Roman"/>
                <w:color w:val="000000" w:themeColor="text1"/>
                <w:szCs w:val="20"/>
              </w:rPr>
              <w:t>No admin</w:t>
            </w:r>
            <w:r w:rsidR="00604937" w:rsidRPr="001763AE">
              <w:rPr>
                <w:rFonts w:cs="Times New Roman"/>
                <w:color w:val="000000" w:themeColor="text1"/>
                <w:szCs w:val="20"/>
              </w:rPr>
              <w:t>istration</w:t>
            </w:r>
            <w:r w:rsidR="00427F20" w:rsidRPr="001763AE">
              <w:rPr>
                <w:rFonts w:cs="Times New Roman"/>
                <w:color w:val="000000" w:themeColor="text1"/>
                <w:szCs w:val="20"/>
              </w:rPr>
              <w:t xml:space="preserve">. </w:t>
            </w:r>
          </w:p>
        </w:tc>
        <w:tc>
          <w:tcPr>
            <w:tcW w:w="770" w:type="pct"/>
            <w:noWrap/>
          </w:tcPr>
          <w:p w:rsidR="00A0462F" w:rsidRPr="001763AE" w:rsidRDefault="00A0462F" w:rsidP="00A0462F">
            <w:pPr>
              <w:jc w:val="center"/>
              <w:rPr>
                <w:rFonts w:eastAsia="Arial Unicode MS" w:cs="Times New Roman"/>
                <w:color w:val="000000" w:themeColor="text1"/>
                <w:szCs w:val="20"/>
              </w:rPr>
            </w:pPr>
            <w:r w:rsidRPr="001763AE">
              <w:rPr>
                <w:rFonts w:cs="Times New Roman"/>
                <w:color w:val="000000" w:themeColor="text1"/>
                <w:szCs w:val="20"/>
              </w:rPr>
              <w:t>9,156</w:t>
            </w:r>
            <w:r w:rsidR="00583265" w:rsidRPr="001763AE">
              <w:rPr>
                <w:rFonts w:cs="Times New Roman"/>
                <w:color w:val="000000" w:themeColor="text1"/>
                <w:szCs w:val="20"/>
              </w:rPr>
              <w:t>.</w:t>
            </w:r>
            <w:r w:rsidRPr="001763AE">
              <w:rPr>
                <w:rFonts w:cs="Times New Roman"/>
                <w:color w:val="000000" w:themeColor="text1"/>
                <w:szCs w:val="20"/>
              </w:rPr>
              <w:t>0</w:t>
            </w:r>
          </w:p>
        </w:tc>
      </w:tr>
      <w:tr w:rsidR="00A0462F" w:rsidRPr="001763AE" w:rsidTr="00604937">
        <w:trPr>
          <w:trHeight w:val="270"/>
        </w:trPr>
        <w:tc>
          <w:tcPr>
            <w:tcW w:w="4230" w:type="pct"/>
            <w:gridSpan w:val="3"/>
            <w:noWrap/>
          </w:tcPr>
          <w:p w:rsidR="00A0462F" w:rsidRPr="001763AE" w:rsidRDefault="00A0462F" w:rsidP="00A0462F">
            <w:pPr>
              <w:jc w:val="center"/>
              <w:rPr>
                <w:rFonts w:eastAsia="Arial Unicode MS" w:cs="Times New Roman"/>
                <w:b/>
                <w:bCs/>
                <w:color w:val="000000" w:themeColor="text1"/>
                <w:szCs w:val="20"/>
              </w:rPr>
            </w:pPr>
            <w:r w:rsidRPr="001763AE">
              <w:rPr>
                <w:rFonts w:cs="Times New Roman"/>
                <w:b/>
                <w:bCs/>
                <w:color w:val="000000" w:themeColor="text1"/>
                <w:szCs w:val="20"/>
              </w:rPr>
              <w:t>TOTAL</w:t>
            </w:r>
          </w:p>
        </w:tc>
        <w:tc>
          <w:tcPr>
            <w:tcW w:w="770" w:type="pct"/>
            <w:noWrap/>
          </w:tcPr>
          <w:p w:rsidR="00A0462F" w:rsidRPr="001763AE" w:rsidRDefault="00A0462F" w:rsidP="00A0462F">
            <w:pPr>
              <w:jc w:val="center"/>
              <w:rPr>
                <w:rFonts w:eastAsia="Arial Unicode MS" w:cs="Times New Roman"/>
                <w:b/>
                <w:bCs/>
                <w:color w:val="000000" w:themeColor="text1"/>
                <w:szCs w:val="20"/>
              </w:rPr>
            </w:pPr>
            <w:r w:rsidRPr="001763AE">
              <w:rPr>
                <w:rFonts w:cs="Times New Roman"/>
                <w:b/>
                <w:bCs/>
                <w:color w:val="000000" w:themeColor="text1"/>
                <w:szCs w:val="20"/>
              </w:rPr>
              <w:t>1,002,570</w:t>
            </w:r>
            <w:r w:rsidR="00583265" w:rsidRPr="001763AE">
              <w:rPr>
                <w:rFonts w:cs="Times New Roman"/>
                <w:b/>
                <w:bCs/>
                <w:color w:val="000000" w:themeColor="text1"/>
                <w:szCs w:val="20"/>
              </w:rPr>
              <w:t>.</w:t>
            </w:r>
            <w:r w:rsidRPr="001763AE">
              <w:rPr>
                <w:rFonts w:cs="Times New Roman"/>
                <w:b/>
                <w:bCs/>
                <w:color w:val="000000" w:themeColor="text1"/>
                <w:szCs w:val="20"/>
              </w:rPr>
              <w:t>7</w:t>
            </w:r>
          </w:p>
        </w:tc>
      </w:tr>
      <w:tr w:rsidR="00A0462F" w:rsidRPr="001763AE" w:rsidTr="00604937">
        <w:trPr>
          <w:trHeight w:val="260"/>
        </w:trPr>
        <w:tc>
          <w:tcPr>
            <w:tcW w:w="4230" w:type="pct"/>
            <w:gridSpan w:val="3"/>
            <w:noWrap/>
          </w:tcPr>
          <w:p w:rsidR="00A0462F" w:rsidRPr="001763AE" w:rsidRDefault="00A0462F" w:rsidP="00A0462F">
            <w:pPr>
              <w:jc w:val="center"/>
              <w:rPr>
                <w:rFonts w:eastAsia="Arial Unicode MS" w:cs="Times New Roman"/>
                <w:color w:val="000000" w:themeColor="text1"/>
                <w:szCs w:val="20"/>
              </w:rPr>
            </w:pPr>
            <w:r w:rsidRPr="001763AE">
              <w:rPr>
                <w:rFonts w:cs="Times New Roman"/>
                <w:b/>
                <w:bCs/>
                <w:color w:val="000000" w:themeColor="text1"/>
                <w:szCs w:val="20"/>
              </w:rPr>
              <w:t>National Parks</w:t>
            </w:r>
          </w:p>
        </w:tc>
        <w:tc>
          <w:tcPr>
            <w:tcW w:w="770" w:type="pct"/>
            <w:noWrap/>
          </w:tcPr>
          <w:p w:rsidR="00A0462F" w:rsidRPr="001763AE" w:rsidRDefault="00A0462F" w:rsidP="00A0462F">
            <w:pPr>
              <w:jc w:val="center"/>
              <w:rPr>
                <w:rFonts w:eastAsia="Arial Unicode MS" w:cs="Times New Roman"/>
                <w:b/>
                <w:bCs/>
                <w:color w:val="000000" w:themeColor="text1"/>
                <w:szCs w:val="20"/>
              </w:rPr>
            </w:pPr>
            <w:r w:rsidRPr="001763AE">
              <w:rPr>
                <w:rFonts w:cs="Times New Roman"/>
                <w:b/>
                <w:bCs/>
                <w:color w:val="000000" w:themeColor="text1"/>
                <w:szCs w:val="20"/>
              </w:rPr>
              <w:t>304,864</w:t>
            </w:r>
            <w:r w:rsidR="00583265" w:rsidRPr="001763AE">
              <w:rPr>
                <w:rFonts w:cs="Times New Roman"/>
                <w:b/>
                <w:bCs/>
                <w:color w:val="000000" w:themeColor="text1"/>
                <w:szCs w:val="20"/>
              </w:rPr>
              <w:t>.</w:t>
            </w:r>
            <w:r w:rsidRPr="001763AE">
              <w:rPr>
                <w:rFonts w:cs="Times New Roman"/>
                <w:b/>
                <w:bCs/>
                <w:color w:val="000000" w:themeColor="text1"/>
                <w:szCs w:val="20"/>
              </w:rPr>
              <w:t>7</w:t>
            </w:r>
          </w:p>
        </w:tc>
      </w:tr>
      <w:tr w:rsidR="00A0462F" w:rsidRPr="001763AE" w:rsidTr="00604937">
        <w:trPr>
          <w:trHeight w:val="255"/>
        </w:trPr>
        <w:tc>
          <w:tcPr>
            <w:tcW w:w="4230" w:type="pct"/>
            <w:gridSpan w:val="3"/>
            <w:noWrap/>
          </w:tcPr>
          <w:p w:rsidR="00A0462F" w:rsidRPr="001763AE" w:rsidRDefault="00A0462F" w:rsidP="00A0462F">
            <w:pPr>
              <w:jc w:val="center"/>
              <w:rPr>
                <w:rFonts w:eastAsia="Arial Unicode MS" w:cs="Times New Roman"/>
                <w:color w:val="000000" w:themeColor="text1"/>
                <w:szCs w:val="20"/>
              </w:rPr>
            </w:pPr>
            <w:r w:rsidRPr="001763AE">
              <w:rPr>
                <w:rFonts w:cs="Times New Roman"/>
                <w:b/>
                <w:bCs/>
                <w:color w:val="000000" w:themeColor="text1"/>
                <w:szCs w:val="20"/>
              </w:rPr>
              <w:t>Nature Parks</w:t>
            </w:r>
          </w:p>
        </w:tc>
        <w:tc>
          <w:tcPr>
            <w:tcW w:w="770" w:type="pct"/>
            <w:noWrap/>
          </w:tcPr>
          <w:p w:rsidR="00A0462F" w:rsidRPr="001763AE" w:rsidRDefault="00A0462F" w:rsidP="00A0462F">
            <w:pPr>
              <w:jc w:val="center"/>
              <w:rPr>
                <w:rFonts w:eastAsia="Arial Unicode MS" w:cs="Times New Roman"/>
                <w:b/>
                <w:bCs/>
                <w:color w:val="000000" w:themeColor="text1"/>
                <w:szCs w:val="20"/>
              </w:rPr>
            </w:pPr>
            <w:r w:rsidRPr="001763AE">
              <w:rPr>
                <w:rFonts w:cs="Times New Roman"/>
                <w:b/>
                <w:bCs/>
                <w:color w:val="000000" w:themeColor="text1"/>
                <w:szCs w:val="20"/>
              </w:rPr>
              <w:t>697,706</w:t>
            </w:r>
            <w:r w:rsidR="00583265" w:rsidRPr="001763AE">
              <w:rPr>
                <w:rFonts w:cs="Times New Roman"/>
                <w:b/>
                <w:bCs/>
                <w:color w:val="000000" w:themeColor="text1"/>
                <w:szCs w:val="20"/>
              </w:rPr>
              <w:t>.</w:t>
            </w:r>
            <w:r w:rsidRPr="001763AE">
              <w:rPr>
                <w:rFonts w:cs="Times New Roman"/>
                <w:b/>
                <w:bCs/>
                <w:color w:val="000000" w:themeColor="text1"/>
                <w:szCs w:val="20"/>
              </w:rPr>
              <w:t>0</w:t>
            </w:r>
          </w:p>
        </w:tc>
      </w:tr>
    </w:tbl>
    <w:p w:rsidR="00427F20" w:rsidRPr="001763AE" w:rsidRDefault="00025012" w:rsidP="00F32CAA">
      <w:pPr>
        <w:pStyle w:val="NumberedPara"/>
      </w:pPr>
      <w:r w:rsidRPr="001763AE">
        <w:rPr>
          <w:lang w:eastAsia="en-GB"/>
        </w:rPr>
        <w:t xml:space="preserve">The original concept for this project goes back to 2006, when the </w:t>
      </w:r>
      <w:r w:rsidR="00F32CAA" w:rsidRPr="001763AE">
        <w:rPr>
          <w:lang w:eastAsia="en-GB"/>
        </w:rPr>
        <w:t xml:space="preserve">Romanian </w:t>
      </w:r>
      <w:r w:rsidRPr="001763AE">
        <w:rPr>
          <w:lang w:eastAsia="en-GB"/>
        </w:rPr>
        <w:t xml:space="preserve">Minister for the Environment participated in a Carpathian Convention Conference and pledged </w:t>
      </w:r>
      <w:r w:rsidR="00F32CAA" w:rsidRPr="001763AE">
        <w:rPr>
          <w:lang w:eastAsia="en-GB"/>
        </w:rPr>
        <w:t xml:space="preserve">co-financing for </w:t>
      </w:r>
      <w:r w:rsidRPr="001763AE">
        <w:rPr>
          <w:lang w:eastAsia="en-GB"/>
        </w:rPr>
        <w:t xml:space="preserve">GEF to </w:t>
      </w:r>
      <w:r w:rsidR="00F32CAA" w:rsidRPr="001763AE">
        <w:rPr>
          <w:lang w:eastAsia="en-GB"/>
        </w:rPr>
        <w:t xml:space="preserve">support </w:t>
      </w:r>
      <w:r w:rsidRPr="001763AE">
        <w:rPr>
          <w:lang w:eastAsia="en-GB"/>
        </w:rPr>
        <w:t>management of protected areas in the Carpathian Region</w:t>
      </w:r>
      <w:r w:rsidR="00427F20" w:rsidRPr="001763AE">
        <w:rPr>
          <w:lang w:eastAsia="en-GB"/>
        </w:rPr>
        <w:t xml:space="preserve">. </w:t>
      </w:r>
      <w:r w:rsidRPr="001763AE">
        <w:rPr>
          <w:lang w:eastAsia="en-GB"/>
        </w:rPr>
        <w:t>The eventual project, approved at the end of 2009</w:t>
      </w:r>
      <w:r w:rsidR="001763AE">
        <w:rPr>
          <w:lang w:eastAsia="en-GB"/>
        </w:rPr>
        <w:t>,</w:t>
      </w:r>
      <w:r w:rsidRPr="001763AE">
        <w:rPr>
          <w:lang w:eastAsia="en-GB"/>
        </w:rPr>
        <w:t xml:space="preserve"> </w:t>
      </w:r>
      <w:r w:rsidRPr="001763AE">
        <w:t>was designed to secure the financial sustainability of Romania’s Carpathian Network of Protected Areas (CNPA) as a model for replication to the entire Carpathian Network of Protected Areas</w:t>
      </w:r>
      <w:r w:rsidR="00427F20" w:rsidRPr="001763AE">
        <w:t>.</w:t>
      </w:r>
    </w:p>
    <w:p w:rsidR="009E0B10" w:rsidRPr="001763AE" w:rsidRDefault="000E3CD5" w:rsidP="00235F76">
      <w:pPr>
        <w:pStyle w:val="Heading2"/>
        <w:numPr>
          <w:ilvl w:val="0"/>
          <w:numId w:val="0"/>
        </w:numPr>
      </w:pPr>
      <w:bookmarkStart w:id="9" w:name="_Toc396725206"/>
      <w:r w:rsidRPr="001763AE">
        <w:t>Problems that the project sought to address</w:t>
      </w:r>
      <w:bookmarkEnd w:id="9"/>
    </w:p>
    <w:p w:rsidR="00A9285A" w:rsidRPr="001763AE" w:rsidRDefault="00444B94" w:rsidP="00235F76">
      <w:pPr>
        <w:pStyle w:val="NumberedPara"/>
        <w:numPr>
          <w:ilvl w:val="0"/>
          <w:numId w:val="0"/>
        </w:numPr>
      </w:pPr>
      <w:r w:rsidRPr="001763AE">
        <w:t xml:space="preserve">The main </w:t>
      </w:r>
      <w:r w:rsidR="00CC3A96" w:rsidRPr="001763AE">
        <w:t xml:space="preserve">direct </w:t>
      </w:r>
      <w:r w:rsidRPr="001763AE">
        <w:t xml:space="preserve">threats to the globally significant biodiversity of the </w:t>
      </w:r>
      <w:r w:rsidR="00A9285A" w:rsidRPr="001763AE">
        <w:t xml:space="preserve">Romanian </w:t>
      </w:r>
      <w:r w:rsidRPr="001763AE">
        <w:t>Carpathian mountains</w:t>
      </w:r>
      <w:r w:rsidR="00A9285A" w:rsidRPr="001763AE">
        <w:t xml:space="preserve">, and their underlying causes are </w:t>
      </w:r>
      <w:r w:rsidR="003D13B4" w:rsidRPr="001763AE">
        <w:t>summarised</w:t>
      </w:r>
      <w:r w:rsidR="00A9285A" w:rsidRPr="001763AE">
        <w:t xml:space="preserve"> in </w:t>
      </w:r>
      <w:r w:rsidR="00217E75" w:rsidRPr="001763AE">
        <w:fldChar w:fldCharType="begin"/>
      </w:r>
      <w:r w:rsidR="00025012" w:rsidRPr="001763AE">
        <w:instrText xml:space="preserve"> REF _Ref391715790 \h </w:instrText>
      </w:r>
      <w:r w:rsidR="00217E75" w:rsidRPr="001763AE">
        <w:fldChar w:fldCharType="separate"/>
      </w:r>
      <w:r w:rsidR="00D406FE" w:rsidRPr="001763AE">
        <w:t xml:space="preserve">Table </w:t>
      </w:r>
      <w:r w:rsidR="00D406FE">
        <w:rPr>
          <w:noProof/>
        </w:rPr>
        <w:t>6</w:t>
      </w:r>
      <w:r w:rsidR="00217E75" w:rsidRPr="001763AE">
        <w:fldChar w:fldCharType="end"/>
      </w:r>
      <w:r w:rsidR="003D13B4" w:rsidRPr="001763AE">
        <w:t>.</w:t>
      </w:r>
    </w:p>
    <w:p w:rsidR="00A9285A" w:rsidRPr="001763AE" w:rsidRDefault="00A9285A" w:rsidP="00A9285A">
      <w:pPr>
        <w:pStyle w:val="Caption"/>
      </w:pPr>
      <w:bookmarkStart w:id="10" w:name="_Ref391715790"/>
      <w:r w:rsidRPr="001763AE">
        <w:t xml:space="preserve">Table </w:t>
      </w:r>
      <w:r w:rsidR="00C072C9">
        <w:fldChar w:fldCharType="begin"/>
      </w:r>
      <w:r w:rsidR="00C072C9">
        <w:instrText xml:space="preserve"> SEQ Table \* ARABIC </w:instrText>
      </w:r>
      <w:r w:rsidR="00C072C9">
        <w:fldChar w:fldCharType="separate"/>
      </w:r>
      <w:r w:rsidR="00D406FE">
        <w:rPr>
          <w:noProof/>
        </w:rPr>
        <w:t>6</w:t>
      </w:r>
      <w:r w:rsidR="00C072C9">
        <w:rPr>
          <w:noProof/>
        </w:rPr>
        <w:fldChar w:fldCharType="end"/>
      </w:r>
      <w:bookmarkEnd w:id="10"/>
      <w:r w:rsidRPr="001763AE">
        <w:t xml:space="preserve"> </w:t>
      </w:r>
      <w:r w:rsidR="005A0FFB" w:rsidRPr="001763AE">
        <w:t>Overall t</w:t>
      </w:r>
      <w:r w:rsidRPr="001763AE">
        <w:t>hreats to Carpathians biodiversity and their underlying causes</w:t>
      </w:r>
    </w:p>
    <w:tbl>
      <w:tblPr>
        <w:tblStyle w:val="BasicReportTable"/>
        <w:tblW w:w="0" w:type="auto"/>
        <w:tblLook w:val="04A0" w:firstRow="1" w:lastRow="0" w:firstColumn="1" w:lastColumn="0" w:noHBand="0" w:noVBand="1"/>
      </w:tblPr>
      <w:tblGrid>
        <w:gridCol w:w="5013"/>
        <w:gridCol w:w="5013"/>
      </w:tblGrid>
      <w:tr w:rsidR="00A9285A" w:rsidRPr="001763AE" w:rsidTr="00A9285A">
        <w:trPr>
          <w:cnfStyle w:val="100000000000" w:firstRow="1" w:lastRow="0" w:firstColumn="0" w:lastColumn="0" w:oddVBand="0" w:evenVBand="0" w:oddHBand="0" w:evenHBand="0" w:firstRowFirstColumn="0" w:firstRowLastColumn="0" w:lastRowFirstColumn="0" w:lastRowLastColumn="0"/>
        </w:trPr>
        <w:tc>
          <w:tcPr>
            <w:tcW w:w="5013" w:type="dxa"/>
          </w:tcPr>
          <w:p w:rsidR="00A9285A" w:rsidRPr="001763AE" w:rsidRDefault="000944DD" w:rsidP="000944DD">
            <w:pPr>
              <w:pStyle w:val="NumberedPara"/>
              <w:numPr>
                <w:ilvl w:val="0"/>
                <w:numId w:val="0"/>
              </w:numPr>
              <w:jc w:val="center"/>
            </w:pPr>
            <w:r w:rsidRPr="001763AE">
              <w:t xml:space="preserve">Main </w:t>
            </w:r>
            <w:r w:rsidR="00A9285A" w:rsidRPr="001763AE">
              <w:t>Direct Threats</w:t>
            </w:r>
          </w:p>
        </w:tc>
        <w:tc>
          <w:tcPr>
            <w:tcW w:w="5013" w:type="dxa"/>
          </w:tcPr>
          <w:p w:rsidR="00A9285A" w:rsidRPr="001763AE" w:rsidRDefault="000944DD" w:rsidP="000944DD">
            <w:pPr>
              <w:pStyle w:val="NumberedPara"/>
              <w:numPr>
                <w:ilvl w:val="0"/>
                <w:numId w:val="0"/>
              </w:numPr>
              <w:jc w:val="center"/>
            </w:pPr>
            <w:r w:rsidRPr="001763AE">
              <w:t>Main underlying causes</w:t>
            </w:r>
          </w:p>
        </w:tc>
      </w:tr>
      <w:tr w:rsidR="00F23778" w:rsidRPr="001763AE" w:rsidTr="00A9285A">
        <w:tc>
          <w:tcPr>
            <w:tcW w:w="5013" w:type="dxa"/>
          </w:tcPr>
          <w:p w:rsidR="00F23778" w:rsidRPr="001763AE" w:rsidRDefault="00F23778" w:rsidP="00B453B0">
            <w:pPr>
              <w:pStyle w:val="NumberedPara"/>
              <w:numPr>
                <w:ilvl w:val="0"/>
                <w:numId w:val="0"/>
              </w:numPr>
              <w:spacing w:before="20" w:after="20"/>
            </w:pPr>
            <w:r w:rsidRPr="001763AE">
              <w:t>Clearance of restituted forest</w:t>
            </w:r>
            <w:r w:rsidR="003D13B4" w:rsidRPr="001763AE">
              <w:t>s</w:t>
            </w:r>
            <w:r w:rsidRPr="001763AE">
              <w:t xml:space="preserve"> for short term gain (around 50% of Romania’s forests have been restituted)</w:t>
            </w:r>
            <w:r w:rsidR="006560AE">
              <w:t>.</w:t>
            </w:r>
          </w:p>
          <w:p w:rsidR="00F23778" w:rsidRPr="001763AE" w:rsidRDefault="00F23778" w:rsidP="00B453B0">
            <w:pPr>
              <w:pStyle w:val="NumberedPara"/>
              <w:numPr>
                <w:ilvl w:val="0"/>
                <w:numId w:val="0"/>
              </w:numPr>
              <w:spacing w:before="20" w:after="20"/>
              <w:rPr>
                <w:i/>
              </w:rPr>
            </w:pPr>
            <w:r w:rsidRPr="001763AE">
              <w:rPr>
                <w:i/>
              </w:rPr>
              <w:t>It is estimated that about 30,000 ha of restituted forests have been clear cut, while around 100,000 ha are affected by partial illegal cuts</w:t>
            </w:r>
            <w:r w:rsidR="00427F20" w:rsidRPr="001763AE">
              <w:rPr>
                <w:i/>
              </w:rPr>
              <w:t xml:space="preserve">. </w:t>
            </w:r>
          </w:p>
        </w:tc>
        <w:tc>
          <w:tcPr>
            <w:tcW w:w="5013" w:type="dxa"/>
            <w:vMerge w:val="restart"/>
          </w:tcPr>
          <w:p w:rsidR="00F23778" w:rsidRPr="001763AE" w:rsidRDefault="00F23778" w:rsidP="00B453B0">
            <w:pPr>
              <w:pStyle w:val="NumberedPara"/>
              <w:numPr>
                <w:ilvl w:val="0"/>
                <w:numId w:val="20"/>
              </w:numPr>
              <w:spacing w:before="20" w:after="20"/>
            </w:pPr>
            <w:r w:rsidRPr="001763AE">
              <w:t>Difficult economic conditions in rural areas</w:t>
            </w:r>
            <w:r w:rsidR="006560AE">
              <w:t>.</w:t>
            </w:r>
          </w:p>
          <w:p w:rsidR="00F23778" w:rsidRPr="001763AE" w:rsidRDefault="00F23778" w:rsidP="00B453B0">
            <w:pPr>
              <w:pStyle w:val="NumberedPara"/>
              <w:numPr>
                <w:ilvl w:val="0"/>
                <w:numId w:val="20"/>
              </w:numPr>
              <w:spacing w:before="20" w:after="20"/>
            </w:pPr>
            <w:r w:rsidRPr="001763AE">
              <w:t>Lack of compensation for use restrictions in private forests</w:t>
            </w:r>
            <w:r w:rsidR="006560AE">
              <w:t>.</w:t>
            </w:r>
          </w:p>
          <w:p w:rsidR="00F23778" w:rsidRPr="001763AE" w:rsidRDefault="00F23778" w:rsidP="00B453B0">
            <w:pPr>
              <w:pStyle w:val="NumberedPara"/>
              <w:numPr>
                <w:ilvl w:val="0"/>
                <w:numId w:val="20"/>
              </w:numPr>
              <w:spacing w:before="20" w:after="20"/>
            </w:pPr>
            <w:r w:rsidRPr="001763AE">
              <w:t xml:space="preserve">Unwillingness of owners to accept long harvest </w:t>
            </w:r>
            <w:r w:rsidRPr="001763AE">
              <w:lastRenderedPageBreak/>
              <w:t>rotations, leading to clear cutting for immediate gain</w:t>
            </w:r>
            <w:r w:rsidR="006560AE">
              <w:t>.</w:t>
            </w:r>
          </w:p>
          <w:p w:rsidR="00427F20" w:rsidRPr="001763AE" w:rsidRDefault="00F23778" w:rsidP="00B453B0">
            <w:pPr>
              <w:pStyle w:val="NumberedPara"/>
              <w:numPr>
                <w:ilvl w:val="0"/>
                <w:numId w:val="20"/>
              </w:numPr>
              <w:spacing w:before="20" w:after="20"/>
            </w:pPr>
            <w:r w:rsidRPr="001763AE">
              <w:t>Pressure for investment opportunities in rural areas</w:t>
            </w:r>
            <w:r w:rsidR="00427F20" w:rsidRPr="001763AE">
              <w:t>.</w:t>
            </w:r>
          </w:p>
          <w:p w:rsidR="00F23778" w:rsidRPr="001763AE" w:rsidRDefault="00F23778" w:rsidP="00B453B0">
            <w:pPr>
              <w:pStyle w:val="NumberedPara"/>
              <w:numPr>
                <w:ilvl w:val="0"/>
                <w:numId w:val="20"/>
              </w:numPr>
              <w:spacing w:before="20" w:after="20"/>
            </w:pPr>
            <w:r w:rsidRPr="001763AE">
              <w:t>Inadequate consideration of environmental priorities and values in planning decisions</w:t>
            </w:r>
            <w:r w:rsidR="006560AE">
              <w:t>.</w:t>
            </w:r>
          </w:p>
          <w:p w:rsidR="00F23778" w:rsidRPr="001763AE" w:rsidRDefault="00F23778" w:rsidP="00B453B0">
            <w:pPr>
              <w:pStyle w:val="NumberedPara"/>
              <w:numPr>
                <w:ilvl w:val="0"/>
                <w:numId w:val="20"/>
              </w:numPr>
              <w:spacing w:before="20" w:after="20"/>
            </w:pPr>
            <w:r w:rsidRPr="001763AE">
              <w:t>Lack of regulation and enforcement of existing laws</w:t>
            </w:r>
            <w:r w:rsidR="006560AE">
              <w:t>.</w:t>
            </w:r>
          </w:p>
          <w:p w:rsidR="00427F20" w:rsidRPr="001763AE" w:rsidRDefault="00F23778" w:rsidP="00B453B0">
            <w:pPr>
              <w:pStyle w:val="NumberedPara"/>
              <w:numPr>
                <w:ilvl w:val="0"/>
                <w:numId w:val="20"/>
              </w:numPr>
              <w:spacing w:before="20" w:after="20"/>
            </w:pPr>
            <w:r w:rsidRPr="001763AE">
              <w:t>Inadequate monitoring</w:t>
            </w:r>
            <w:r w:rsidR="00427F20" w:rsidRPr="001763AE">
              <w:t>.</w:t>
            </w:r>
          </w:p>
          <w:p w:rsidR="00F23778" w:rsidRPr="001763AE" w:rsidRDefault="00F23778" w:rsidP="00B453B0">
            <w:pPr>
              <w:pStyle w:val="NumberedPara"/>
              <w:numPr>
                <w:ilvl w:val="0"/>
                <w:numId w:val="20"/>
              </w:numPr>
              <w:spacing w:before="20" w:after="20"/>
            </w:pPr>
            <w:r w:rsidRPr="001763AE">
              <w:t>Gaps and inconsistencies on the legal framework</w:t>
            </w:r>
            <w:r w:rsidR="006560AE">
              <w:t>.</w:t>
            </w:r>
          </w:p>
          <w:p w:rsidR="00427F20" w:rsidRPr="001763AE" w:rsidRDefault="00F23778" w:rsidP="00B453B0">
            <w:pPr>
              <w:pStyle w:val="NumberedPara"/>
              <w:numPr>
                <w:ilvl w:val="0"/>
                <w:numId w:val="20"/>
              </w:numPr>
              <w:spacing w:before="20" w:after="20"/>
            </w:pPr>
            <w:r w:rsidRPr="001763AE">
              <w:t>Low political priority for environmental issues</w:t>
            </w:r>
            <w:r w:rsidR="006560AE">
              <w:t>.</w:t>
            </w:r>
          </w:p>
          <w:p w:rsidR="005A0FFB" w:rsidRPr="001763AE" w:rsidRDefault="00F23778" w:rsidP="006560AE">
            <w:pPr>
              <w:pStyle w:val="NumberedPara"/>
              <w:numPr>
                <w:ilvl w:val="0"/>
                <w:numId w:val="20"/>
              </w:numPr>
              <w:spacing w:before="20" w:after="20"/>
            </w:pPr>
            <w:r w:rsidRPr="001763AE">
              <w:t>Impacts of the global financial crisis</w:t>
            </w:r>
            <w:r w:rsidR="000944DD" w:rsidRPr="001763AE">
              <w:t xml:space="preserve"> (This was not an issue when the project was conceived, but has subsequently served to amplify many of the threats)</w:t>
            </w:r>
            <w:r w:rsidR="006560AE">
              <w:t>.</w:t>
            </w:r>
          </w:p>
        </w:tc>
      </w:tr>
      <w:tr w:rsidR="00F23778" w:rsidRPr="001763AE" w:rsidTr="00A9285A">
        <w:tc>
          <w:tcPr>
            <w:tcW w:w="5013" w:type="dxa"/>
          </w:tcPr>
          <w:p w:rsidR="00F23778" w:rsidRPr="001763AE" w:rsidRDefault="00F23778" w:rsidP="00A9285A">
            <w:pPr>
              <w:pStyle w:val="NumberedPara"/>
              <w:numPr>
                <w:ilvl w:val="0"/>
                <w:numId w:val="0"/>
              </w:numPr>
            </w:pPr>
            <w:r w:rsidRPr="001763AE">
              <w:lastRenderedPageBreak/>
              <w:t>Illegal logging harvesting in State Forest Land</w:t>
            </w:r>
            <w:r w:rsidR="006560AE">
              <w:t>.</w:t>
            </w:r>
          </w:p>
        </w:tc>
        <w:tc>
          <w:tcPr>
            <w:tcW w:w="5013" w:type="dxa"/>
            <w:vMerge/>
          </w:tcPr>
          <w:p w:rsidR="00F23778" w:rsidRPr="001763AE" w:rsidRDefault="00F23778" w:rsidP="00A9285A">
            <w:pPr>
              <w:pStyle w:val="NumberedPara"/>
            </w:pPr>
          </w:p>
        </w:tc>
      </w:tr>
      <w:tr w:rsidR="00F23778" w:rsidRPr="001763AE" w:rsidTr="00A9285A">
        <w:tc>
          <w:tcPr>
            <w:tcW w:w="5013" w:type="dxa"/>
          </w:tcPr>
          <w:p w:rsidR="00427F20" w:rsidRPr="001763AE" w:rsidRDefault="00F23778" w:rsidP="008C2AB9">
            <w:pPr>
              <w:pStyle w:val="NumberedPara"/>
              <w:numPr>
                <w:ilvl w:val="0"/>
                <w:numId w:val="0"/>
              </w:numPr>
            </w:pPr>
            <w:r w:rsidRPr="001763AE">
              <w:lastRenderedPageBreak/>
              <w:t>Habitat fragmentation, degradation and conversion</w:t>
            </w:r>
            <w:r w:rsidR="00427F20" w:rsidRPr="001763AE">
              <w:t>.</w:t>
            </w:r>
          </w:p>
          <w:p w:rsidR="00F23778" w:rsidRPr="001763AE" w:rsidRDefault="00F23778" w:rsidP="00F23778">
            <w:pPr>
              <w:pStyle w:val="NumberedPara"/>
              <w:numPr>
                <w:ilvl w:val="0"/>
                <w:numId w:val="0"/>
              </w:numPr>
              <w:rPr>
                <w:i/>
              </w:rPr>
            </w:pPr>
            <w:r w:rsidRPr="001763AE">
              <w:rPr>
                <w:i/>
              </w:rPr>
              <w:t>Mainly through construction of roads, houses, tourism facilities, hydropower installations and other infrastructure</w:t>
            </w:r>
            <w:r w:rsidR="006560AE">
              <w:rPr>
                <w:i/>
              </w:rPr>
              <w:t>.</w:t>
            </w:r>
          </w:p>
        </w:tc>
        <w:tc>
          <w:tcPr>
            <w:tcW w:w="5013" w:type="dxa"/>
            <w:vMerge/>
          </w:tcPr>
          <w:p w:rsidR="00F23778" w:rsidRPr="001763AE" w:rsidRDefault="00F23778" w:rsidP="00A9285A">
            <w:pPr>
              <w:pStyle w:val="NumberedPara"/>
            </w:pPr>
          </w:p>
        </w:tc>
      </w:tr>
      <w:tr w:rsidR="000944DD" w:rsidRPr="001763AE" w:rsidTr="00A9285A">
        <w:tc>
          <w:tcPr>
            <w:tcW w:w="5013" w:type="dxa"/>
          </w:tcPr>
          <w:p w:rsidR="000944DD" w:rsidRPr="001763AE" w:rsidRDefault="000944DD" w:rsidP="008C2AB9">
            <w:pPr>
              <w:pStyle w:val="NumberedPara"/>
              <w:numPr>
                <w:ilvl w:val="0"/>
                <w:numId w:val="0"/>
              </w:numPr>
            </w:pPr>
            <w:r w:rsidRPr="001763AE">
              <w:t>Poaching and poorly regulated hunting of protected, rare and threatened species</w:t>
            </w:r>
            <w:r w:rsidR="00427F20" w:rsidRPr="001763AE">
              <w:t xml:space="preserve">. </w:t>
            </w:r>
          </w:p>
        </w:tc>
        <w:tc>
          <w:tcPr>
            <w:tcW w:w="5013" w:type="dxa"/>
            <w:vMerge/>
          </w:tcPr>
          <w:p w:rsidR="000944DD" w:rsidRPr="001763AE" w:rsidRDefault="000944DD" w:rsidP="00A9285A">
            <w:pPr>
              <w:pStyle w:val="NumberedPara"/>
            </w:pPr>
          </w:p>
        </w:tc>
      </w:tr>
      <w:tr w:rsidR="00F23778" w:rsidRPr="001763AE" w:rsidTr="00A9285A">
        <w:tc>
          <w:tcPr>
            <w:tcW w:w="5013" w:type="dxa"/>
          </w:tcPr>
          <w:p w:rsidR="00F23778" w:rsidRPr="001763AE" w:rsidRDefault="000944DD" w:rsidP="00B453B0">
            <w:pPr>
              <w:pStyle w:val="NumberedPara"/>
              <w:numPr>
                <w:ilvl w:val="0"/>
                <w:numId w:val="0"/>
              </w:numPr>
              <w:spacing w:before="20" w:after="20"/>
            </w:pPr>
            <w:r w:rsidRPr="001763AE">
              <w:t>Cessation of traditional management of grasslands</w:t>
            </w:r>
            <w:r w:rsidR="006560AE">
              <w:t>.</w:t>
            </w:r>
          </w:p>
        </w:tc>
        <w:tc>
          <w:tcPr>
            <w:tcW w:w="5013" w:type="dxa"/>
            <w:vMerge/>
          </w:tcPr>
          <w:p w:rsidR="00F23778" w:rsidRPr="001763AE" w:rsidRDefault="00F23778" w:rsidP="00A9285A">
            <w:pPr>
              <w:pStyle w:val="NumberedPara"/>
              <w:numPr>
                <w:ilvl w:val="0"/>
                <w:numId w:val="0"/>
              </w:numPr>
            </w:pPr>
          </w:p>
        </w:tc>
      </w:tr>
    </w:tbl>
    <w:p w:rsidR="000944DD" w:rsidRPr="001763AE" w:rsidRDefault="000944DD" w:rsidP="00235F76">
      <w:pPr>
        <w:pStyle w:val="NumberedPara"/>
        <w:numPr>
          <w:ilvl w:val="0"/>
          <w:numId w:val="0"/>
        </w:numPr>
      </w:pPr>
      <w:r w:rsidRPr="001763AE">
        <w:t>The protected area network of Romania should be serving as a means to remove</w:t>
      </w:r>
      <w:r w:rsidR="00C25EF8" w:rsidRPr="001763AE">
        <w:t xml:space="preserve"> and/or mitigate</w:t>
      </w:r>
      <w:r w:rsidRPr="001763AE">
        <w:t xml:space="preserve"> these</w:t>
      </w:r>
      <w:r w:rsidR="00C25EF8" w:rsidRPr="001763AE">
        <w:t xml:space="preserve"> threats in areas of particular importance, but </w:t>
      </w:r>
      <w:r w:rsidR="003D13B4" w:rsidRPr="001763AE">
        <w:t xml:space="preserve">the </w:t>
      </w:r>
      <w:r w:rsidR="00C25EF8" w:rsidRPr="001763AE">
        <w:t>protected areas are limited in their</w:t>
      </w:r>
      <w:r w:rsidR="009D54E2" w:rsidRPr="001763AE">
        <w:t xml:space="preserve"> ability to do this for a number of reasons including</w:t>
      </w:r>
      <w:r w:rsidR="003D13B4" w:rsidRPr="001763AE">
        <w:t xml:space="preserve"> the following.</w:t>
      </w:r>
    </w:p>
    <w:p w:rsidR="00427F20" w:rsidRPr="001763AE" w:rsidRDefault="009D54E2" w:rsidP="009D54E2">
      <w:pPr>
        <w:pStyle w:val="NumberedPara"/>
        <w:numPr>
          <w:ilvl w:val="0"/>
          <w:numId w:val="0"/>
        </w:numPr>
      </w:pPr>
      <w:r w:rsidRPr="001763AE">
        <w:t>(i) Lack of capacity among protected area administrations</w:t>
      </w:r>
      <w:r w:rsidR="008B035D" w:rsidRPr="001763AE">
        <w:t xml:space="preserve"> for effective and efficient management</w:t>
      </w:r>
      <w:r w:rsidR="00427F20" w:rsidRPr="001763AE">
        <w:t xml:space="preserve">. </w:t>
      </w:r>
      <w:r w:rsidR="00C25EF8" w:rsidRPr="001763AE">
        <w:t>The overall management effectiveness tracking tool (METT) score for the 22 PAs in Romania was 53</w:t>
      </w:r>
      <w:r w:rsidR="003D13B4" w:rsidRPr="001763AE">
        <w:t>.</w:t>
      </w:r>
      <w:r w:rsidR="00C25EF8" w:rsidRPr="001763AE">
        <w:t>8 in 2009, which is only just adequate and should be much higher</w:t>
      </w:r>
      <w:r w:rsidR="00427F20" w:rsidRPr="001763AE">
        <w:t>.</w:t>
      </w:r>
    </w:p>
    <w:p w:rsidR="00427F20" w:rsidRPr="001763AE" w:rsidRDefault="008B035D" w:rsidP="009D54E2">
      <w:pPr>
        <w:pStyle w:val="NumberedPara"/>
        <w:numPr>
          <w:ilvl w:val="0"/>
          <w:numId w:val="0"/>
        </w:numPr>
      </w:pPr>
      <w:r w:rsidRPr="001763AE">
        <w:t xml:space="preserve"> (ii) Weaknesses and u</w:t>
      </w:r>
      <w:r w:rsidR="009D54E2" w:rsidRPr="001763AE">
        <w:t>nce</w:t>
      </w:r>
      <w:r w:rsidRPr="001763AE">
        <w:t>r</w:t>
      </w:r>
      <w:r w:rsidR="009D54E2" w:rsidRPr="001763AE">
        <w:t xml:space="preserve">tainties in the system of </w:t>
      </w:r>
      <w:r w:rsidR="00C25EF8" w:rsidRPr="001763AE">
        <w:t>top-level</w:t>
      </w:r>
      <w:r w:rsidR="009D54E2" w:rsidRPr="001763AE">
        <w:t xml:space="preserve"> governance</w:t>
      </w:r>
      <w:r w:rsidR="00427F20" w:rsidRPr="001763AE">
        <w:t xml:space="preserve">. </w:t>
      </w:r>
      <w:r w:rsidR="009D54E2" w:rsidRPr="001763AE">
        <w:t>The majo</w:t>
      </w:r>
      <w:r w:rsidRPr="001763AE">
        <w:t>rity of PAs are administered by the N</w:t>
      </w:r>
      <w:r w:rsidR="009D54E2" w:rsidRPr="001763AE">
        <w:t>ational Forest Administration under contract to the MoECC</w:t>
      </w:r>
      <w:r w:rsidRPr="001763AE">
        <w:t>, but this is not considered by many to be a permanent or entirely satisfactory arrangement</w:t>
      </w:r>
      <w:r w:rsidR="00427F20" w:rsidRPr="001763AE">
        <w:t xml:space="preserve">. </w:t>
      </w:r>
      <w:r w:rsidR="00C25EF8" w:rsidRPr="001763AE">
        <w:t>While the project was being planned,</w:t>
      </w:r>
      <w:r w:rsidRPr="001763AE">
        <w:t xml:space="preserve"> a separate protected area agency was established, but this </w:t>
      </w:r>
      <w:r w:rsidR="00C25EF8" w:rsidRPr="001763AE">
        <w:t>was discontinued</w:t>
      </w:r>
      <w:r w:rsidR="0025256D">
        <w:t xml:space="preserve"> </w:t>
      </w:r>
      <w:r w:rsidR="00C25EF8" w:rsidRPr="001763AE">
        <w:t>for reasons</w:t>
      </w:r>
      <w:r w:rsidR="008C73EC" w:rsidRPr="001763AE">
        <w:t xml:space="preserve"> </w:t>
      </w:r>
      <w:r w:rsidRPr="001763AE">
        <w:t xml:space="preserve">mainly connected with </w:t>
      </w:r>
      <w:r w:rsidR="00C25EF8" w:rsidRPr="001763AE">
        <w:t>the financial crisis</w:t>
      </w:r>
      <w:r w:rsidR="00427F20" w:rsidRPr="001763AE">
        <w:t>.</w:t>
      </w:r>
    </w:p>
    <w:p w:rsidR="00427F20" w:rsidRPr="001763AE" w:rsidRDefault="008C73EC" w:rsidP="009D54E2">
      <w:pPr>
        <w:pStyle w:val="NumberedPara"/>
        <w:numPr>
          <w:ilvl w:val="0"/>
          <w:numId w:val="0"/>
        </w:numPr>
      </w:pPr>
      <w:r w:rsidRPr="001763AE">
        <w:t xml:space="preserve">(iii) Lack of a clear framework for planning and </w:t>
      </w:r>
      <w:r w:rsidR="005A0FFB" w:rsidRPr="001763AE">
        <w:t>management</w:t>
      </w:r>
      <w:r w:rsidR="00427F20" w:rsidRPr="001763AE">
        <w:t xml:space="preserve">. </w:t>
      </w:r>
      <w:r w:rsidRPr="001763AE">
        <w:t xml:space="preserve">In </w:t>
      </w:r>
      <w:r w:rsidR="005A0FFB" w:rsidRPr="001763AE">
        <w:t>2009,</w:t>
      </w:r>
      <w:r w:rsidRPr="001763AE">
        <w:t xml:space="preserve"> few if any protected area</w:t>
      </w:r>
      <w:r w:rsidR="003D13B4" w:rsidRPr="001763AE">
        <w:t>s</w:t>
      </w:r>
      <w:r w:rsidRPr="001763AE">
        <w:t xml:space="preserve"> were </w:t>
      </w:r>
      <w:r w:rsidR="005A0FFB" w:rsidRPr="001763AE">
        <w:t>operating</w:t>
      </w:r>
      <w:r w:rsidRPr="001763AE">
        <w:t xml:space="preserve"> under ap</w:t>
      </w:r>
      <w:r w:rsidR="005A0FFB" w:rsidRPr="001763AE">
        <w:t>proved manageme</w:t>
      </w:r>
      <w:r w:rsidR="003D13B4" w:rsidRPr="001763AE">
        <w:t xml:space="preserve">nt plans, and management plans that existed </w:t>
      </w:r>
      <w:r w:rsidR="005A0FFB" w:rsidRPr="001763AE">
        <w:t>were not linked to budgets</w:t>
      </w:r>
      <w:r w:rsidR="00427F20" w:rsidRPr="001763AE">
        <w:t>.</w:t>
      </w:r>
    </w:p>
    <w:p w:rsidR="00427F20" w:rsidRPr="001763AE" w:rsidRDefault="008C73EC" w:rsidP="00A61EB7">
      <w:pPr>
        <w:pStyle w:val="NumberedPara"/>
        <w:numPr>
          <w:ilvl w:val="0"/>
          <w:numId w:val="0"/>
        </w:numPr>
      </w:pPr>
      <w:r w:rsidRPr="001763AE">
        <w:t xml:space="preserve">(iv) </w:t>
      </w:r>
      <w:r w:rsidR="005A0FFB" w:rsidRPr="001763AE">
        <w:t>Inadequate</w:t>
      </w:r>
      <w:r w:rsidRPr="001763AE">
        <w:t xml:space="preserve"> </w:t>
      </w:r>
      <w:r w:rsidR="005A0FFB" w:rsidRPr="001763AE">
        <w:t>financing</w:t>
      </w:r>
      <w:r w:rsidR="00427F20" w:rsidRPr="001763AE">
        <w:t xml:space="preserve">. </w:t>
      </w:r>
      <w:r w:rsidRPr="001763AE">
        <w:t xml:space="preserve">In 2009 only around 50% of what </w:t>
      </w:r>
      <w:r w:rsidR="005A0FFB" w:rsidRPr="001763AE">
        <w:t>was</w:t>
      </w:r>
      <w:r w:rsidRPr="001763AE">
        <w:t xml:space="preserve"> required to implement basic conservation (pay salaries, utilities, fuel and basic equipment) was available, and protected areas </w:t>
      </w:r>
      <w:r w:rsidR="005A0FFB" w:rsidRPr="001763AE">
        <w:t>received</w:t>
      </w:r>
      <w:r w:rsidRPr="001763AE">
        <w:t xml:space="preserve"> no </w:t>
      </w:r>
      <w:r w:rsidR="00796DB4" w:rsidRPr="001763AE">
        <w:t xml:space="preserve">direct </w:t>
      </w:r>
      <w:r w:rsidRPr="001763AE">
        <w:t>f</w:t>
      </w:r>
      <w:r w:rsidR="00796DB4" w:rsidRPr="001763AE">
        <w:t>unding from the national budget</w:t>
      </w:r>
      <w:r w:rsidR="00427F20" w:rsidRPr="001763AE">
        <w:t xml:space="preserve">. </w:t>
      </w:r>
      <w:r w:rsidR="00796DB4" w:rsidRPr="001763AE">
        <w:t>A</w:t>
      </w:r>
      <w:r w:rsidRPr="001763AE">
        <w:t xml:space="preserve"> UNDP Financial Sustainability Scorecard for the Romania</w:t>
      </w:r>
      <w:r w:rsidR="00796DB4" w:rsidRPr="001763AE">
        <w:t>n</w:t>
      </w:r>
      <w:r w:rsidRPr="001763AE">
        <w:t xml:space="preserve"> PA system </w:t>
      </w:r>
      <w:r w:rsidR="003D13B4" w:rsidRPr="001763AE">
        <w:t>compil</w:t>
      </w:r>
      <w:r w:rsidR="00796DB4" w:rsidRPr="001763AE">
        <w:t xml:space="preserve">ed </w:t>
      </w:r>
      <w:r w:rsidRPr="001763AE">
        <w:t>during project preparation</w:t>
      </w:r>
      <w:r w:rsidR="00796DB4" w:rsidRPr="001763AE">
        <w:t xml:space="preserve"> produced a score of just</w:t>
      </w:r>
      <w:r w:rsidR="00E44FAA" w:rsidRPr="001763AE">
        <w:t xml:space="preserve"> 33</w:t>
      </w:r>
      <w:r w:rsidR="003D13B4" w:rsidRPr="001763AE">
        <w:t xml:space="preserve"> </w:t>
      </w:r>
      <w:r w:rsidR="00E44FAA" w:rsidRPr="001763AE">
        <w:t>(17%</w:t>
      </w:r>
      <w:r w:rsidR="005A0FFB" w:rsidRPr="001763AE">
        <w:t>)</w:t>
      </w:r>
      <w:r w:rsidR="00427F20" w:rsidRPr="001763AE">
        <w:t xml:space="preserve">. </w:t>
      </w:r>
      <w:r w:rsidR="00E2271C" w:rsidRPr="001763AE">
        <w:t>In financial terms, the scorecard identified an annual funding requirement of approximately</w:t>
      </w:r>
      <w:r w:rsidR="00E2271C">
        <w:t xml:space="preserve"> USD 9</w:t>
      </w:r>
      <w:r w:rsidR="006560AE">
        <w:t xml:space="preserve"> </w:t>
      </w:r>
      <w:r w:rsidR="00E2271C">
        <w:t>m</w:t>
      </w:r>
      <w:r w:rsidR="006560AE">
        <w:t>illion</w:t>
      </w:r>
      <w:r w:rsidR="00E2271C" w:rsidRPr="001763AE">
        <w:t xml:space="preserve"> for basic management, and </w:t>
      </w:r>
      <w:r w:rsidR="00E2271C">
        <w:t>USD 15</w:t>
      </w:r>
      <w:r w:rsidR="006560AE">
        <w:t xml:space="preserve"> </w:t>
      </w:r>
      <w:r w:rsidR="00E2271C">
        <w:t>m</w:t>
      </w:r>
      <w:r w:rsidR="006560AE">
        <w:t>illion</w:t>
      </w:r>
      <w:r w:rsidR="00E2271C" w:rsidRPr="001763AE">
        <w:t xml:space="preserve"> for optimal management (i. e. full implementation of all PA management plans). The actual annual income at the time was only USD 5 million, indicating funding gaps of </w:t>
      </w:r>
      <w:r w:rsidR="00E2271C">
        <w:t>USD 4 m</w:t>
      </w:r>
      <w:r w:rsidR="00E2271C" w:rsidRPr="001763AE">
        <w:t>illion (basic management)</w:t>
      </w:r>
      <w:r w:rsidR="00E2271C">
        <w:t xml:space="preserve"> and USD 10 m</w:t>
      </w:r>
      <w:r w:rsidR="00E2271C" w:rsidRPr="001763AE">
        <w:t>illion (optimal management).</w:t>
      </w:r>
    </w:p>
    <w:p w:rsidR="00427F20" w:rsidRPr="001763AE" w:rsidRDefault="00E44FAA" w:rsidP="00235F76">
      <w:pPr>
        <w:pStyle w:val="NumberedPara"/>
        <w:numPr>
          <w:ilvl w:val="0"/>
          <w:numId w:val="0"/>
        </w:numPr>
      </w:pPr>
      <w:r w:rsidRPr="001763AE">
        <w:t>The project was quite unusual in that it focused not on direct threats, but on root causes, specifically the lack of financing for protected areas</w:t>
      </w:r>
      <w:r w:rsidR="00427F20" w:rsidRPr="001763AE">
        <w:t xml:space="preserve">. </w:t>
      </w:r>
      <w:r w:rsidRPr="001763AE">
        <w:t xml:space="preserve">The basic logic was that with improved and more reliable, targeted and efficiently </w:t>
      </w:r>
      <w:r w:rsidR="00C25EF8" w:rsidRPr="001763AE">
        <w:t>used financing</w:t>
      </w:r>
      <w:r w:rsidRPr="001763AE">
        <w:t xml:space="preserve">, protected areas could be </w:t>
      </w:r>
      <w:r w:rsidR="00C25EF8" w:rsidRPr="001763AE">
        <w:t>better managed</w:t>
      </w:r>
      <w:r w:rsidRPr="001763AE">
        <w:t xml:space="preserve">, threats reduced and </w:t>
      </w:r>
      <w:r w:rsidR="00C25EF8" w:rsidRPr="001763AE">
        <w:t>biodiversity</w:t>
      </w:r>
      <w:r w:rsidRPr="001763AE">
        <w:t xml:space="preserve"> more </w:t>
      </w:r>
      <w:r w:rsidR="00C25EF8" w:rsidRPr="001763AE">
        <w:t>effectively</w:t>
      </w:r>
      <w:r w:rsidRPr="001763AE">
        <w:t xml:space="preserve"> and efficiently conserved</w:t>
      </w:r>
      <w:r w:rsidR="00427F20" w:rsidRPr="001763AE">
        <w:t>.</w:t>
      </w:r>
    </w:p>
    <w:p w:rsidR="0025256D" w:rsidRDefault="00711E22" w:rsidP="00235F76">
      <w:pPr>
        <w:pStyle w:val="NumberedPara"/>
        <w:numPr>
          <w:ilvl w:val="0"/>
          <w:numId w:val="0"/>
        </w:numPr>
      </w:pPr>
      <w:r w:rsidRPr="001763AE">
        <w:t xml:space="preserve">The overall approach taken by the project was to work through several linked stages at </w:t>
      </w:r>
      <w:r w:rsidR="004A0E64" w:rsidRPr="001763AE">
        <w:t>the central and the site levels</w:t>
      </w:r>
      <w:r w:rsidR="009756E3" w:rsidRPr="001763AE">
        <w:t xml:space="preserve"> to achieve the overall objective</w:t>
      </w:r>
      <w:r w:rsidR="008A6CE4" w:rsidRPr="001763AE">
        <w:t>.</w:t>
      </w:r>
      <w:r w:rsidRPr="001763AE">
        <w:t xml:space="preserve"> </w:t>
      </w:r>
      <w:r w:rsidR="00A17F89" w:rsidRPr="001763AE">
        <w:t>A set of in de</w:t>
      </w:r>
      <w:r w:rsidR="008A6CE4" w:rsidRPr="001763AE">
        <w:t xml:space="preserve">pth economic studies </w:t>
      </w:r>
      <w:r w:rsidR="004B595D" w:rsidRPr="001763AE">
        <w:t>using a</w:t>
      </w:r>
      <w:r w:rsidR="00F23B02" w:rsidRPr="001763AE">
        <w:t>n</w:t>
      </w:r>
      <w:r w:rsidR="004B595D" w:rsidRPr="001763AE">
        <w:t xml:space="preserve"> innovative </w:t>
      </w:r>
      <w:r w:rsidR="00F23B02" w:rsidRPr="001763AE">
        <w:t>‘Sector Scenario Analysis</w:t>
      </w:r>
      <w:r w:rsidR="001666E8">
        <w:t>’</w:t>
      </w:r>
      <w:r w:rsidR="00F23B02" w:rsidRPr="001763AE">
        <w:t xml:space="preserve"> (SSA) approach</w:t>
      </w:r>
      <w:r w:rsidR="001666E8">
        <w:t xml:space="preserve"> </w:t>
      </w:r>
      <w:r w:rsidR="00F23B02" w:rsidRPr="001763AE">
        <w:t>previously</w:t>
      </w:r>
      <w:r w:rsidR="001666E8">
        <w:t xml:space="preserve"> </w:t>
      </w:r>
      <w:r w:rsidR="004B595D" w:rsidRPr="001763AE">
        <w:t>piloted by UNDP</w:t>
      </w:r>
      <w:r w:rsidR="001666E8">
        <w:t xml:space="preserve"> and others</w:t>
      </w:r>
      <w:r w:rsidR="004B595D" w:rsidRPr="001763AE">
        <w:t xml:space="preserve"> in Latin America, </w:t>
      </w:r>
      <w:r w:rsidR="008A6CE4" w:rsidRPr="001763AE">
        <w:t xml:space="preserve">was planned to </w:t>
      </w:r>
      <w:r w:rsidR="00A17F89" w:rsidRPr="001763AE">
        <w:t xml:space="preserve">establish the values of protected areas and </w:t>
      </w:r>
      <w:r w:rsidR="00CB4010" w:rsidRPr="001763AE">
        <w:t>i</w:t>
      </w:r>
      <w:r w:rsidR="00834E4E" w:rsidRPr="001763AE">
        <w:t>dentify</w:t>
      </w:r>
      <w:r w:rsidR="00CB4010" w:rsidRPr="001763AE">
        <w:t xml:space="preserve"> new funding </w:t>
      </w:r>
      <w:r w:rsidR="00E724C7">
        <w:t>mechanisms. C</w:t>
      </w:r>
      <w:r w:rsidR="00CB4010" w:rsidRPr="001763AE">
        <w:t xml:space="preserve">hanges in legislation </w:t>
      </w:r>
      <w:r w:rsidR="008A6CE4" w:rsidRPr="001763AE">
        <w:t xml:space="preserve">drafted by the project </w:t>
      </w:r>
      <w:r w:rsidR="00CB4010" w:rsidRPr="001763AE">
        <w:t xml:space="preserve">would enable </w:t>
      </w:r>
      <w:r w:rsidR="00834E4E" w:rsidRPr="001763AE">
        <w:t>the new funding to be mobilised. A financing strategy would be developed with the NFA</w:t>
      </w:r>
      <w:r w:rsidR="00E17D74" w:rsidRPr="001763AE">
        <w:t>,</w:t>
      </w:r>
      <w:r w:rsidR="00834E4E" w:rsidRPr="001763AE">
        <w:t xml:space="preserve"> and</w:t>
      </w:r>
      <w:r w:rsidR="001C4C79" w:rsidRPr="001763AE">
        <w:t xml:space="preserve"> tested at five </w:t>
      </w:r>
      <w:r w:rsidR="00C60C5F" w:rsidRPr="001763AE">
        <w:t xml:space="preserve">pilot </w:t>
      </w:r>
      <w:r w:rsidR="001C4C79" w:rsidRPr="001763AE">
        <w:t>protected areas</w:t>
      </w:r>
      <w:r w:rsidR="00E724C7">
        <w:t xml:space="preserve"> </w:t>
      </w:r>
      <w:r w:rsidR="00C60C5F" w:rsidRPr="001763AE">
        <w:t xml:space="preserve">(see </w:t>
      </w:r>
      <w:r w:rsidR="00217E75" w:rsidRPr="001763AE">
        <w:fldChar w:fldCharType="begin"/>
      </w:r>
      <w:r w:rsidR="00C60C5F" w:rsidRPr="001763AE">
        <w:instrText xml:space="preserve"> REF _Ref392095404 \h </w:instrText>
      </w:r>
      <w:r w:rsidR="00217E75" w:rsidRPr="001763AE">
        <w:fldChar w:fldCharType="separate"/>
      </w:r>
      <w:r w:rsidR="00D406FE" w:rsidRPr="001763AE">
        <w:t xml:space="preserve">Table </w:t>
      </w:r>
      <w:r w:rsidR="00D406FE">
        <w:rPr>
          <w:noProof/>
        </w:rPr>
        <w:t>8</w:t>
      </w:r>
      <w:r w:rsidR="00217E75" w:rsidRPr="001763AE">
        <w:fldChar w:fldCharType="end"/>
      </w:r>
      <w:r w:rsidR="00C60C5F" w:rsidRPr="001763AE">
        <w:t>)</w:t>
      </w:r>
      <w:r w:rsidR="00834E4E" w:rsidRPr="001763AE">
        <w:t>,</w:t>
      </w:r>
      <w:r w:rsidR="001C4C79" w:rsidRPr="001763AE">
        <w:t xml:space="preserve"> </w:t>
      </w:r>
      <w:r w:rsidR="00834E4E" w:rsidRPr="001763AE">
        <w:t>where a new financial manageme</w:t>
      </w:r>
      <w:r w:rsidR="00E17D74" w:rsidRPr="001763AE">
        <w:t xml:space="preserve">nt system would link budgeting </w:t>
      </w:r>
      <w:r w:rsidR="00834E4E" w:rsidRPr="001763AE">
        <w:t xml:space="preserve">and financial management to the objectives and outputs of site management plans. </w:t>
      </w:r>
      <w:r w:rsidR="00E17D74" w:rsidRPr="001763AE">
        <w:t xml:space="preserve">The pilot sites would also be supported to develop a range of </w:t>
      </w:r>
      <w:r w:rsidR="008A6CE4" w:rsidRPr="001763AE">
        <w:t>market-</w:t>
      </w:r>
      <w:r w:rsidR="00E17D74" w:rsidRPr="001763AE">
        <w:t xml:space="preserve">based mechanisms to increase their incomes and reduce the funding gaps identified by the financial management system. </w:t>
      </w:r>
      <w:r w:rsidR="00834E4E" w:rsidRPr="001763AE">
        <w:t xml:space="preserve">The </w:t>
      </w:r>
      <w:r w:rsidR="001C4C79" w:rsidRPr="001763AE">
        <w:t xml:space="preserve">work and experience of the pilot sites would be disseminated to </w:t>
      </w:r>
      <w:r w:rsidR="00E17D74" w:rsidRPr="001763AE">
        <w:t>protected area clusters</w:t>
      </w:r>
      <w:r w:rsidR="001C4C79" w:rsidRPr="001763AE">
        <w:t xml:space="preserve"> in Romania</w:t>
      </w:r>
      <w:r w:rsidR="00E17D74" w:rsidRPr="001763AE">
        <w:t xml:space="preserve">, </w:t>
      </w:r>
      <w:r w:rsidR="001C4C79" w:rsidRPr="001763AE">
        <w:t xml:space="preserve">and </w:t>
      </w:r>
      <w:r w:rsidR="00E17D74" w:rsidRPr="001763AE">
        <w:t xml:space="preserve">then to </w:t>
      </w:r>
      <w:r w:rsidR="001C4C79" w:rsidRPr="001763AE">
        <w:t>other Carpathian countries through a range of capacity development</w:t>
      </w:r>
      <w:r w:rsidR="004B595D" w:rsidRPr="001763AE">
        <w:t xml:space="preserve"> and awareness raising </w:t>
      </w:r>
      <w:r w:rsidR="001C4C79" w:rsidRPr="001763AE">
        <w:t>activities.</w:t>
      </w:r>
    </w:p>
    <w:p w:rsidR="00834E4E" w:rsidRPr="001763AE" w:rsidRDefault="00834E4E" w:rsidP="00834E4E">
      <w:pPr>
        <w:pStyle w:val="Caption"/>
      </w:pPr>
      <w:bookmarkStart w:id="11" w:name="_Ref392095404"/>
      <w:r w:rsidRPr="001763AE">
        <w:t xml:space="preserve">Table </w:t>
      </w:r>
      <w:r w:rsidR="00C072C9">
        <w:fldChar w:fldCharType="begin"/>
      </w:r>
      <w:r w:rsidR="00C072C9">
        <w:instrText xml:space="preserve"> SEQ Table \* ARABIC </w:instrText>
      </w:r>
      <w:r w:rsidR="00C072C9">
        <w:fldChar w:fldCharType="separate"/>
      </w:r>
      <w:r w:rsidR="00D406FE">
        <w:rPr>
          <w:noProof/>
        </w:rPr>
        <w:t>8</w:t>
      </w:r>
      <w:r w:rsidR="00C072C9">
        <w:rPr>
          <w:noProof/>
        </w:rPr>
        <w:fldChar w:fldCharType="end"/>
      </w:r>
      <w:bookmarkEnd w:id="11"/>
      <w:r w:rsidRPr="001763AE">
        <w:t>. Pilot protected areas</w:t>
      </w:r>
      <w:r w:rsidR="00741C07" w:rsidRPr="001763AE">
        <w:t xml:space="preserve"> and associated clusters</w:t>
      </w:r>
    </w:p>
    <w:tbl>
      <w:tblPr>
        <w:tblStyle w:val="BasicReportTable"/>
        <w:tblW w:w="9720" w:type="dxa"/>
        <w:tblLook w:val="01E0" w:firstRow="1" w:lastRow="1" w:firstColumn="1" w:lastColumn="1" w:noHBand="0" w:noVBand="0"/>
      </w:tblPr>
      <w:tblGrid>
        <w:gridCol w:w="4500"/>
        <w:gridCol w:w="5220"/>
      </w:tblGrid>
      <w:tr w:rsidR="00741C07" w:rsidRPr="001763AE" w:rsidTr="00741C07">
        <w:trPr>
          <w:cnfStyle w:val="100000000000" w:firstRow="1" w:lastRow="0" w:firstColumn="0" w:lastColumn="0" w:oddVBand="0" w:evenVBand="0" w:oddHBand="0" w:evenHBand="0" w:firstRowFirstColumn="0" w:firstRowLastColumn="0" w:lastRowFirstColumn="0" w:lastRowLastColumn="0"/>
        </w:trPr>
        <w:tc>
          <w:tcPr>
            <w:tcW w:w="4500" w:type="dxa"/>
          </w:tcPr>
          <w:p w:rsidR="00741C07" w:rsidRPr="001763AE" w:rsidRDefault="00C60C5F" w:rsidP="00C60C5F">
            <w:pPr>
              <w:rPr>
                <w:b w:val="0"/>
                <w:color w:val="FFFFFF"/>
                <w:sz w:val="22"/>
              </w:rPr>
            </w:pPr>
            <w:r w:rsidRPr="001763AE">
              <w:rPr>
                <w:b w:val="0"/>
                <w:color w:val="FFFFFF"/>
              </w:rPr>
              <w:t>Pilot Sites</w:t>
            </w:r>
          </w:p>
        </w:tc>
        <w:tc>
          <w:tcPr>
            <w:tcW w:w="5220" w:type="dxa"/>
          </w:tcPr>
          <w:p w:rsidR="00741C07" w:rsidRPr="001763AE" w:rsidRDefault="009E47FD" w:rsidP="00C60C5F">
            <w:pPr>
              <w:rPr>
                <w:b w:val="0"/>
                <w:color w:val="FFFFFF"/>
                <w:sz w:val="22"/>
              </w:rPr>
            </w:pPr>
            <w:r w:rsidRPr="001763AE">
              <w:rPr>
                <w:b w:val="0"/>
                <w:color w:val="FFFFFF"/>
              </w:rPr>
              <w:t>A</w:t>
            </w:r>
            <w:r w:rsidR="00C60C5F" w:rsidRPr="001763AE">
              <w:rPr>
                <w:b w:val="0"/>
                <w:color w:val="FFFFFF"/>
              </w:rPr>
              <w:t>ssociated clusters</w:t>
            </w:r>
          </w:p>
        </w:tc>
      </w:tr>
      <w:tr w:rsidR="00741C07" w:rsidRPr="001763AE" w:rsidTr="00741C07">
        <w:tc>
          <w:tcPr>
            <w:tcW w:w="4500" w:type="dxa"/>
          </w:tcPr>
          <w:p w:rsidR="00741C07" w:rsidRPr="001763AE" w:rsidRDefault="00741C07" w:rsidP="00741C07">
            <w:pPr>
              <w:numPr>
                <w:ilvl w:val="0"/>
                <w:numId w:val="39"/>
              </w:numPr>
              <w:tabs>
                <w:tab w:val="clear" w:pos="720"/>
              </w:tabs>
              <w:autoSpaceDE w:val="0"/>
              <w:autoSpaceDN w:val="0"/>
              <w:adjustRightInd w:val="0"/>
              <w:spacing w:line="240" w:lineRule="auto"/>
              <w:ind w:left="432"/>
              <w:jc w:val="both"/>
              <w:rPr>
                <w:sz w:val="22"/>
              </w:rPr>
            </w:pPr>
            <w:r w:rsidRPr="001763AE">
              <w:t>Vanatori Neamt Nature Park (National Forestry Agency-NFA)</w:t>
            </w:r>
          </w:p>
        </w:tc>
        <w:tc>
          <w:tcPr>
            <w:tcW w:w="5220" w:type="dxa"/>
          </w:tcPr>
          <w:p w:rsidR="00741C07" w:rsidRPr="001763AE" w:rsidRDefault="00741C07" w:rsidP="00741C07">
            <w:pPr>
              <w:numPr>
                <w:ilvl w:val="0"/>
                <w:numId w:val="38"/>
              </w:numPr>
              <w:tabs>
                <w:tab w:val="clear" w:pos="720"/>
              </w:tabs>
              <w:autoSpaceDE w:val="0"/>
              <w:autoSpaceDN w:val="0"/>
              <w:adjustRightInd w:val="0"/>
              <w:spacing w:line="240" w:lineRule="auto"/>
              <w:ind w:left="432"/>
            </w:pPr>
            <w:r w:rsidRPr="001763AE">
              <w:t>Ceahlau National Park (Neamt City Council)</w:t>
            </w:r>
          </w:p>
          <w:p w:rsidR="00741C07" w:rsidRPr="001763AE" w:rsidRDefault="00741C07" w:rsidP="00741C07">
            <w:pPr>
              <w:numPr>
                <w:ilvl w:val="0"/>
                <w:numId w:val="38"/>
              </w:numPr>
              <w:tabs>
                <w:tab w:val="clear" w:pos="720"/>
              </w:tabs>
              <w:autoSpaceDE w:val="0"/>
              <w:autoSpaceDN w:val="0"/>
              <w:adjustRightInd w:val="0"/>
              <w:spacing w:line="240" w:lineRule="auto"/>
              <w:ind w:left="432"/>
              <w:rPr>
                <w:sz w:val="22"/>
              </w:rPr>
            </w:pPr>
            <w:r w:rsidRPr="001763AE">
              <w:t>Cheile Bicazului National Park (NFA)</w:t>
            </w:r>
          </w:p>
        </w:tc>
      </w:tr>
      <w:tr w:rsidR="00741C07" w:rsidRPr="001763AE" w:rsidTr="00741C07">
        <w:tc>
          <w:tcPr>
            <w:tcW w:w="4500" w:type="dxa"/>
          </w:tcPr>
          <w:p w:rsidR="00741C07" w:rsidRPr="001763AE" w:rsidRDefault="00741C07" w:rsidP="00741C07">
            <w:pPr>
              <w:numPr>
                <w:ilvl w:val="0"/>
                <w:numId w:val="39"/>
              </w:numPr>
              <w:tabs>
                <w:tab w:val="clear" w:pos="720"/>
              </w:tabs>
              <w:autoSpaceDE w:val="0"/>
              <w:autoSpaceDN w:val="0"/>
              <w:adjustRightInd w:val="0"/>
              <w:spacing w:line="240" w:lineRule="auto"/>
              <w:ind w:left="432"/>
              <w:jc w:val="both"/>
              <w:rPr>
                <w:sz w:val="22"/>
              </w:rPr>
            </w:pPr>
            <w:r w:rsidRPr="001763AE">
              <w:t>Piatra Craiului National Park (NFA)</w:t>
            </w:r>
          </w:p>
        </w:tc>
        <w:tc>
          <w:tcPr>
            <w:tcW w:w="5220" w:type="dxa"/>
          </w:tcPr>
          <w:p w:rsidR="00741C07" w:rsidRPr="001763AE" w:rsidRDefault="00741C07" w:rsidP="00741C07">
            <w:pPr>
              <w:numPr>
                <w:ilvl w:val="0"/>
                <w:numId w:val="38"/>
              </w:numPr>
              <w:tabs>
                <w:tab w:val="clear" w:pos="720"/>
              </w:tabs>
              <w:autoSpaceDE w:val="0"/>
              <w:autoSpaceDN w:val="0"/>
              <w:adjustRightInd w:val="0"/>
              <w:spacing w:line="240" w:lineRule="auto"/>
              <w:ind w:left="432"/>
              <w:jc w:val="both"/>
              <w:rPr>
                <w:sz w:val="22"/>
              </w:rPr>
            </w:pPr>
            <w:r w:rsidRPr="001763AE">
              <w:t>Bucegi Nature Park (NFA)</w:t>
            </w:r>
          </w:p>
        </w:tc>
      </w:tr>
      <w:tr w:rsidR="00741C07" w:rsidRPr="001763AE" w:rsidTr="00741C07">
        <w:tc>
          <w:tcPr>
            <w:tcW w:w="4500" w:type="dxa"/>
          </w:tcPr>
          <w:p w:rsidR="00741C07" w:rsidRPr="001763AE" w:rsidRDefault="00741C07" w:rsidP="00741C07">
            <w:pPr>
              <w:numPr>
                <w:ilvl w:val="0"/>
                <w:numId w:val="39"/>
              </w:numPr>
              <w:tabs>
                <w:tab w:val="clear" w:pos="720"/>
              </w:tabs>
              <w:autoSpaceDE w:val="0"/>
              <w:autoSpaceDN w:val="0"/>
              <w:adjustRightInd w:val="0"/>
              <w:spacing w:line="240" w:lineRule="auto"/>
              <w:ind w:left="432"/>
              <w:jc w:val="both"/>
              <w:rPr>
                <w:sz w:val="22"/>
              </w:rPr>
            </w:pPr>
            <w:r w:rsidRPr="001763AE">
              <w:lastRenderedPageBreak/>
              <w:t>Maramuresului Mountains Nature Park (NFA)</w:t>
            </w:r>
          </w:p>
        </w:tc>
        <w:tc>
          <w:tcPr>
            <w:tcW w:w="5220" w:type="dxa"/>
          </w:tcPr>
          <w:p w:rsidR="00741C07" w:rsidRPr="001763AE" w:rsidRDefault="00741C07" w:rsidP="00741C07">
            <w:pPr>
              <w:numPr>
                <w:ilvl w:val="0"/>
                <w:numId w:val="38"/>
              </w:numPr>
              <w:tabs>
                <w:tab w:val="clear" w:pos="720"/>
              </w:tabs>
              <w:autoSpaceDE w:val="0"/>
              <w:autoSpaceDN w:val="0"/>
              <w:adjustRightInd w:val="0"/>
              <w:spacing w:line="240" w:lineRule="auto"/>
              <w:ind w:left="432"/>
              <w:jc w:val="both"/>
              <w:rPr>
                <w:sz w:val="22"/>
              </w:rPr>
            </w:pPr>
            <w:r w:rsidRPr="001763AE">
              <w:t>Rodnei Mountains National Park (NFA)</w:t>
            </w:r>
          </w:p>
        </w:tc>
      </w:tr>
      <w:tr w:rsidR="00741C07" w:rsidRPr="001763AE" w:rsidTr="00741C07">
        <w:tc>
          <w:tcPr>
            <w:tcW w:w="4500" w:type="dxa"/>
          </w:tcPr>
          <w:p w:rsidR="00741C07" w:rsidRPr="001763AE" w:rsidRDefault="00741C07" w:rsidP="00741C07">
            <w:pPr>
              <w:numPr>
                <w:ilvl w:val="0"/>
                <w:numId w:val="39"/>
              </w:numPr>
              <w:tabs>
                <w:tab w:val="clear" w:pos="720"/>
              </w:tabs>
              <w:autoSpaceDE w:val="0"/>
              <w:autoSpaceDN w:val="0"/>
              <w:adjustRightInd w:val="0"/>
              <w:spacing w:line="240" w:lineRule="auto"/>
              <w:ind w:left="432"/>
              <w:jc w:val="both"/>
              <w:rPr>
                <w:sz w:val="22"/>
              </w:rPr>
            </w:pPr>
            <w:r w:rsidRPr="001763AE">
              <w:t>Apuseni Nature Park (NFA)</w:t>
            </w:r>
          </w:p>
        </w:tc>
        <w:tc>
          <w:tcPr>
            <w:tcW w:w="5220" w:type="dxa"/>
            <w:vMerge w:val="restart"/>
          </w:tcPr>
          <w:p w:rsidR="00741C07" w:rsidRPr="001763AE" w:rsidRDefault="00741C07" w:rsidP="00741C07">
            <w:pPr>
              <w:numPr>
                <w:ilvl w:val="0"/>
                <w:numId w:val="38"/>
              </w:numPr>
              <w:tabs>
                <w:tab w:val="clear" w:pos="720"/>
              </w:tabs>
              <w:autoSpaceDE w:val="0"/>
              <w:autoSpaceDN w:val="0"/>
              <w:adjustRightInd w:val="0"/>
              <w:spacing w:line="240" w:lineRule="auto"/>
              <w:ind w:left="432"/>
            </w:pPr>
            <w:r w:rsidRPr="001763AE">
              <w:t>Gradistea Muncelului-Cioclovina Nature Park (NFA)</w:t>
            </w:r>
          </w:p>
          <w:p w:rsidR="00741C07" w:rsidRPr="001763AE" w:rsidRDefault="00741C07" w:rsidP="00741C07">
            <w:pPr>
              <w:numPr>
                <w:ilvl w:val="0"/>
                <w:numId w:val="38"/>
              </w:numPr>
              <w:tabs>
                <w:tab w:val="clear" w:pos="720"/>
              </w:tabs>
              <w:autoSpaceDE w:val="0"/>
              <w:autoSpaceDN w:val="0"/>
              <w:adjustRightInd w:val="0"/>
              <w:spacing w:line="240" w:lineRule="auto"/>
              <w:ind w:left="432"/>
            </w:pPr>
            <w:r w:rsidRPr="001763AE">
              <w:t>Geoparcul Dinozaurilor Hateg Nature Park (Bucharest University)</w:t>
            </w:r>
          </w:p>
          <w:p w:rsidR="00741C07" w:rsidRPr="001763AE" w:rsidRDefault="00741C07" w:rsidP="00741C07">
            <w:pPr>
              <w:numPr>
                <w:ilvl w:val="0"/>
                <w:numId w:val="38"/>
              </w:numPr>
              <w:tabs>
                <w:tab w:val="clear" w:pos="720"/>
              </w:tabs>
              <w:autoSpaceDE w:val="0"/>
              <w:autoSpaceDN w:val="0"/>
              <w:adjustRightInd w:val="0"/>
              <w:spacing w:line="240" w:lineRule="auto"/>
              <w:ind w:left="432"/>
              <w:rPr>
                <w:sz w:val="22"/>
              </w:rPr>
            </w:pPr>
            <w:r w:rsidRPr="001763AE">
              <w:t>Calimani National Park (NFA)</w:t>
            </w:r>
          </w:p>
        </w:tc>
      </w:tr>
      <w:tr w:rsidR="00741C07" w:rsidRPr="001763AE" w:rsidTr="00741C07">
        <w:tc>
          <w:tcPr>
            <w:tcW w:w="4500" w:type="dxa"/>
          </w:tcPr>
          <w:p w:rsidR="00741C07" w:rsidRPr="001763AE" w:rsidRDefault="00741C07" w:rsidP="00741C07">
            <w:pPr>
              <w:numPr>
                <w:ilvl w:val="0"/>
                <w:numId w:val="39"/>
              </w:numPr>
              <w:tabs>
                <w:tab w:val="clear" w:pos="720"/>
              </w:tabs>
              <w:autoSpaceDE w:val="0"/>
              <w:autoSpaceDN w:val="0"/>
              <w:adjustRightInd w:val="0"/>
              <w:spacing w:line="240" w:lineRule="auto"/>
              <w:ind w:left="432"/>
              <w:jc w:val="both"/>
              <w:rPr>
                <w:sz w:val="22"/>
              </w:rPr>
            </w:pPr>
            <w:r w:rsidRPr="001763AE">
              <w:t>Retezat National Park (NFA)</w:t>
            </w:r>
          </w:p>
        </w:tc>
        <w:tc>
          <w:tcPr>
            <w:tcW w:w="5220" w:type="dxa"/>
            <w:vMerge/>
          </w:tcPr>
          <w:p w:rsidR="00741C07" w:rsidRPr="001763AE" w:rsidRDefault="00741C07" w:rsidP="00741C07">
            <w:pPr>
              <w:numPr>
                <w:ilvl w:val="0"/>
                <w:numId w:val="38"/>
              </w:numPr>
              <w:tabs>
                <w:tab w:val="clear" w:pos="720"/>
              </w:tabs>
              <w:autoSpaceDE w:val="0"/>
              <w:autoSpaceDN w:val="0"/>
              <w:adjustRightInd w:val="0"/>
              <w:spacing w:line="240" w:lineRule="auto"/>
              <w:ind w:left="432"/>
            </w:pPr>
          </w:p>
        </w:tc>
      </w:tr>
    </w:tbl>
    <w:p w:rsidR="000E3CD5" w:rsidRPr="001763AE" w:rsidRDefault="005C5D59" w:rsidP="00235F76">
      <w:pPr>
        <w:pStyle w:val="Heading2"/>
        <w:numPr>
          <w:ilvl w:val="0"/>
          <w:numId w:val="0"/>
        </w:numPr>
        <w:ind w:left="576" w:hanging="576"/>
      </w:pPr>
      <w:bookmarkStart w:id="12" w:name="_Toc396725210"/>
      <w:r w:rsidRPr="001763AE">
        <w:t>Expected r</w:t>
      </w:r>
      <w:r w:rsidR="000E3CD5" w:rsidRPr="001763AE">
        <w:t>esults</w:t>
      </w:r>
      <w:r w:rsidR="00BE30D8" w:rsidRPr="001763AE">
        <w:t xml:space="preserve"> and indicators</w:t>
      </w:r>
      <w:bookmarkEnd w:id="12"/>
    </w:p>
    <w:p w:rsidR="00427F20" w:rsidRPr="001763AE" w:rsidRDefault="001B42EA" w:rsidP="00255D97">
      <w:pPr>
        <w:pStyle w:val="NumberedPara"/>
      </w:pPr>
      <w:r w:rsidRPr="001763AE">
        <w:t xml:space="preserve">The Project </w:t>
      </w:r>
      <w:r w:rsidR="005645D2" w:rsidRPr="001763AE">
        <w:t xml:space="preserve">Results Framework </w:t>
      </w:r>
      <w:r w:rsidRPr="001763AE">
        <w:t xml:space="preserve">was </w:t>
      </w:r>
      <w:r w:rsidR="005645D2" w:rsidRPr="001763AE">
        <w:t xml:space="preserve">originally </w:t>
      </w:r>
      <w:r w:rsidRPr="001763AE">
        <w:t xml:space="preserve">designed with </w:t>
      </w:r>
      <w:r w:rsidR="001666E8">
        <w:t>one</w:t>
      </w:r>
      <w:r w:rsidR="00204F3C" w:rsidRPr="001763AE">
        <w:t xml:space="preserve"> overall objective and </w:t>
      </w:r>
      <w:r w:rsidRPr="001763AE">
        <w:t>two outc</w:t>
      </w:r>
      <w:r w:rsidR="00255D97" w:rsidRPr="001763AE">
        <w:t>omes</w:t>
      </w:r>
      <w:r w:rsidR="001666E8">
        <w:t>,</w:t>
      </w:r>
      <w:r w:rsidRPr="001763AE">
        <w:t xml:space="preserve"> each w</w:t>
      </w:r>
      <w:r w:rsidR="00204F3C" w:rsidRPr="001763AE">
        <w:t xml:space="preserve">ith five outputs </w:t>
      </w:r>
      <w:r w:rsidRPr="001763AE">
        <w:t xml:space="preserve">and </w:t>
      </w:r>
      <w:r w:rsidR="005645D2" w:rsidRPr="001763AE">
        <w:t xml:space="preserve">sets of associated </w:t>
      </w:r>
      <w:r w:rsidRPr="001763AE">
        <w:t>indicators</w:t>
      </w:r>
      <w:r w:rsidR="00427F20" w:rsidRPr="001763AE">
        <w:t xml:space="preserve">. </w:t>
      </w:r>
      <w:r w:rsidR="00255D97" w:rsidRPr="001763AE">
        <w:t xml:space="preserve">The inception workshop and the resulting inception </w:t>
      </w:r>
      <w:r w:rsidR="00204F3C" w:rsidRPr="001763AE">
        <w:t xml:space="preserve">report </w:t>
      </w:r>
      <w:r w:rsidRPr="001763AE">
        <w:t>made some modification</w:t>
      </w:r>
      <w:r w:rsidR="005645D2" w:rsidRPr="001763AE">
        <w:t>s to this design, changing the wording of some outputs and removing one (2</w:t>
      </w:r>
      <w:r w:rsidR="006C3433" w:rsidRPr="001763AE">
        <w:t>.4</w:t>
      </w:r>
      <w:r w:rsidR="005645D2" w:rsidRPr="001763AE">
        <w:t>) altogether (See</w:t>
      </w:r>
      <w:r w:rsidR="006E16CE" w:rsidRPr="001763AE">
        <w:t xml:space="preserve"> </w:t>
      </w:r>
      <w:r w:rsidR="00217E75" w:rsidRPr="001763AE">
        <w:fldChar w:fldCharType="begin"/>
      </w:r>
      <w:r w:rsidR="006E16CE" w:rsidRPr="001763AE">
        <w:instrText xml:space="preserve"> REF _Ref391731082 \h </w:instrText>
      </w:r>
      <w:r w:rsidR="00217E75" w:rsidRPr="001763AE">
        <w:fldChar w:fldCharType="separate"/>
      </w:r>
      <w:r w:rsidR="00D406FE" w:rsidRPr="001763AE">
        <w:t xml:space="preserve">Table </w:t>
      </w:r>
      <w:r w:rsidR="00D406FE">
        <w:rPr>
          <w:noProof/>
        </w:rPr>
        <w:t>9</w:t>
      </w:r>
      <w:r w:rsidR="00217E75" w:rsidRPr="001763AE">
        <w:fldChar w:fldCharType="end"/>
      </w:r>
      <w:r w:rsidR="005645D2" w:rsidRPr="001763AE">
        <w:t>)</w:t>
      </w:r>
      <w:r w:rsidR="00427F20" w:rsidRPr="001763AE">
        <w:t>.</w:t>
      </w:r>
    </w:p>
    <w:p w:rsidR="00255D97" w:rsidRPr="001763AE" w:rsidRDefault="00255D97" w:rsidP="00255D97">
      <w:pPr>
        <w:pStyle w:val="Caption"/>
      </w:pPr>
      <w:bookmarkStart w:id="13" w:name="_Ref391731082"/>
      <w:r w:rsidRPr="001763AE">
        <w:t xml:space="preserve">Table </w:t>
      </w:r>
      <w:r w:rsidR="00C072C9">
        <w:fldChar w:fldCharType="begin"/>
      </w:r>
      <w:r w:rsidR="00C072C9">
        <w:instrText xml:space="preserve"> SEQ Table \* ARABIC </w:instrText>
      </w:r>
      <w:r w:rsidR="00C072C9">
        <w:fldChar w:fldCharType="separate"/>
      </w:r>
      <w:r w:rsidR="00D406FE">
        <w:rPr>
          <w:noProof/>
        </w:rPr>
        <w:t>9</w:t>
      </w:r>
      <w:r w:rsidR="00C072C9">
        <w:rPr>
          <w:noProof/>
        </w:rPr>
        <w:fldChar w:fldCharType="end"/>
      </w:r>
      <w:bookmarkEnd w:id="13"/>
      <w:r w:rsidR="007150E0" w:rsidRPr="001763AE">
        <w:t xml:space="preserve"> </w:t>
      </w:r>
      <w:r w:rsidR="00204F3C" w:rsidRPr="001763AE">
        <w:t>Project objectives, outcomes, outputs and indicators</w:t>
      </w:r>
      <w:r w:rsidR="008A6CE4" w:rsidRPr="001763AE">
        <w:t>.</w:t>
      </w:r>
    </w:p>
    <w:tbl>
      <w:tblPr>
        <w:tblStyle w:val="BasicReportTable"/>
        <w:tblW w:w="5000" w:type="pct"/>
        <w:tblLayout w:type="fixed"/>
        <w:tblLook w:val="04A0" w:firstRow="1" w:lastRow="0" w:firstColumn="1" w:lastColumn="0" w:noHBand="0" w:noVBand="1"/>
      </w:tblPr>
      <w:tblGrid>
        <w:gridCol w:w="2238"/>
        <w:gridCol w:w="2408"/>
        <w:gridCol w:w="2555"/>
        <w:gridCol w:w="2825"/>
      </w:tblGrid>
      <w:tr w:rsidR="00255D97" w:rsidRPr="001763AE" w:rsidTr="00294C8C">
        <w:trPr>
          <w:cnfStyle w:val="100000000000" w:firstRow="1" w:lastRow="0" w:firstColumn="0" w:lastColumn="0" w:oddVBand="0" w:evenVBand="0" w:oddHBand="0" w:evenHBand="0" w:firstRowFirstColumn="0" w:firstRowLastColumn="0" w:lastRowFirstColumn="0" w:lastRowLastColumn="0"/>
          <w:trHeight w:val="20"/>
        </w:trPr>
        <w:tc>
          <w:tcPr>
            <w:tcW w:w="1116" w:type="pct"/>
          </w:tcPr>
          <w:p w:rsidR="00255D97" w:rsidRPr="001763AE" w:rsidRDefault="00204F3C" w:rsidP="00F63B05">
            <w:pPr>
              <w:pStyle w:val="ListBullet2"/>
              <w:tabs>
                <w:tab w:val="clear" w:pos="1080"/>
              </w:tabs>
              <w:spacing w:before="0" w:after="0" w:line="240" w:lineRule="auto"/>
              <w:ind w:left="0"/>
              <w:jc w:val="center"/>
              <w:rPr>
                <w:b w:val="0"/>
                <w:sz w:val="22"/>
                <w:szCs w:val="22"/>
              </w:rPr>
            </w:pPr>
            <w:r w:rsidRPr="001763AE">
              <w:rPr>
                <w:b w:val="0"/>
                <w:sz w:val="22"/>
                <w:szCs w:val="22"/>
              </w:rPr>
              <w:t>Outcomes</w:t>
            </w:r>
          </w:p>
        </w:tc>
        <w:tc>
          <w:tcPr>
            <w:tcW w:w="1201" w:type="pct"/>
          </w:tcPr>
          <w:p w:rsidR="00255D97" w:rsidRPr="001763AE" w:rsidRDefault="00255D97" w:rsidP="00F63B05">
            <w:pPr>
              <w:pStyle w:val="ListBullet2"/>
              <w:tabs>
                <w:tab w:val="clear" w:pos="1080"/>
              </w:tabs>
              <w:spacing w:before="0" w:after="0" w:line="240" w:lineRule="auto"/>
              <w:ind w:left="0"/>
              <w:jc w:val="center"/>
              <w:rPr>
                <w:b w:val="0"/>
                <w:sz w:val="22"/>
                <w:szCs w:val="22"/>
              </w:rPr>
            </w:pPr>
            <w:r w:rsidRPr="001763AE">
              <w:rPr>
                <w:b w:val="0"/>
                <w:sz w:val="22"/>
                <w:szCs w:val="22"/>
              </w:rPr>
              <w:t>Original Log frame</w:t>
            </w:r>
          </w:p>
        </w:tc>
        <w:tc>
          <w:tcPr>
            <w:tcW w:w="1274" w:type="pct"/>
          </w:tcPr>
          <w:p w:rsidR="00255D97" w:rsidRPr="001763AE" w:rsidRDefault="00255D97" w:rsidP="00F63B05">
            <w:pPr>
              <w:pStyle w:val="ListBullet2"/>
              <w:tabs>
                <w:tab w:val="clear" w:pos="1080"/>
              </w:tabs>
              <w:spacing w:before="0" w:after="0" w:line="240" w:lineRule="auto"/>
              <w:ind w:left="0"/>
              <w:jc w:val="center"/>
              <w:rPr>
                <w:b w:val="0"/>
                <w:sz w:val="22"/>
                <w:szCs w:val="22"/>
              </w:rPr>
            </w:pPr>
            <w:r w:rsidRPr="001763AE">
              <w:rPr>
                <w:b w:val="0"/>
                <w:sz w:val="22"/>
                <w:szCs w:val="22"/>
              </w:rPr>
              <w:t>Revised Log frame</w:t>
            </w:r>
          </w:p>
        </w:tc>
        <w:tc>
          <w:tcPr>
            <w:tcW w:w="1410" w:type="pct"/>
          </w:tcPr>
          <w:p w:rsidR="00255D97" w:rsidRPr="001763AE" w:rsidRDefault="00BE30D8" w:rsidP="00F63B05">
            <w:pPr>
              <w:pStyle w:val="ListBullet2"/>
              <w:tabs>
                <w:tab w:val="clear" w:pos="1080"/>
              </w:tabs>
              <w:spacing w:before="0" w:after="0" w:line="240" w:lineRule="auto"/>
              <w:ind w:left="0"/>
              <w:jc w:val="center"/>
              <w:rPr>
                <w:b w:val="0"/>
                <w:i/>
                <w:sz w:val="22"/>
                <w:szCs w:val="22"/>
              </w:rPr>
            </w:pPr>
            <w:r w:rsidRPr="001763AE">
              <w:rPr>
                <w:b w:val="0"/>
                <w:sz w:val="22"/>
                <w:szCs w:val="22"/>
              </w:rPr>
              <w:t xml:space="preserve">Indicators </w:t>
            </w:r>
          </w:p>
        </w:tc>
      </w:tr>
      <w:tr w:rsidR="00255D97" w:rsidRPr="001763AE" w:rsidTr="00294C8C">
        <w:trPr>
          <w:trHeight w:val="306"/>
        </w:trPr>
        <w:tc>
          <w:tcPr>
            <w:tcW w:w="1116" w:type="pct"/>
          </w:tcPr>
          <w:p w:rsidR="001846FB" w:rsidRPr="001763AE" w:rsidRDefault="001846FB" w:rsidP="00F63B05">
            <w:pPr>
              <w:spacing w:line="240" w:lineRule="auto"/>
              <w:rPr>
                <w:b/>
                <w:szCs w:val="20"/>
              </w:rPr>
            </w:pPr>
          </w:p>
          <w:p w:rsidR="00255D97" w:rsidRPr="001763AE" w:rsidRDefault="00255D97" w:rsidP="00F63B05">
            <w:pPr>
              <w:spacing w:line="240" w:lineRule="auto"/>
              <w:rPr>
                <w:szCs w:val="20"/>
              </w:rPr>
            </w:pPr>
          </w:p>
        </w:tc>
        <w:tc>
          <w:tcPr>
            <w:tcW w:w="2475" w:type="pct"/>
            <w:gridSpan w:val="2"/>
          </w:tcPr>
          <w:p w:rsidR="00255D97" w:rsidRPr="001763AE" w:rsidRDefault="00940762" w:rsidP="00F63B05">
            <w:pPr>
              <w:pStyle w:val="ListBullet2"/>
              <w:tabs>
                <w:tab w:val="clear" w:pos="1080"/>
              </w:tabs>
              <w:spacing w:before="0" w:after="0" w:line="240" w:lineRule="auto"/>
              <w:ind w:left="0"/>
              <w:jc w:val="center"/>
              <w:rPr>
                <w:rFonts w:eastAsia="Times New Roman" w:cs="Times New Roman"/>
                <w:b/>
                <w:szCs w:val="20"/>
                <w:lang w:eastAsia="en-GB"/>
              </w:rPr>
            </w:pPr>
            <w:r w:rsidRPr="001763AE">
              <w:rPr>
                <w:b/>
                <w:szCs w:val="20"/>
              </w:rPr>
              <w:t xml:space="preserve">Project </w:t>
            </w:r>
            <w:r w:rsidR="00255D97" w:rsidRPr="001763AE">
              <w:rPr>
                <w:b/>
                <w:szCs w:val="20"/>
              </w:rPr>
              <w:t>Objective</w:t>
            </w:r>
          </w:p>
          <w:p w:rsidR="00255D97" w:rsidRPr="001763AE" w:rsidRDefault="001846FB" w:rsidP="001846FB">
            <w:pPr>
              <w:pStyle w:val="ListBullet2"/>
              <w:tabs>
                <w:tab w:val="clear" w:pos="1080"/>
              </w:tabs>
              <w:spacing w:before="0" w:after="0" w:line="240" w:lineRule="auto"/>
              <w:ind w:left="0"/>
              <w:jc w:val="center"/>
              <w:rPr>
                <w:rFonts w:eastAsia="Times New Roman" w:cs="Times New Roman"/>
                <w:szCs w:val="20"/>
                <w:lang w:eastAsia="en-GB"/>
              </w:rPr>
            </w:pPr>
            <w:r w:rsidRPr="001763AE">
              <w:t>To secure the financial sustainability of Romania’s Carpathian network of PAs, as a model for replication to the entire Carpathian Network of Protected Areas (CNPA)</w:t>
            </w:r>
          </w:p>
        </w:tc>
        <w:tc>
          <w:tcPr>
            <w:tcW w:w="1410" w:type="pct"/>
          </w:tcPr>
          <w:p w:rsidR="00427F20" w:rsidRPr="001763AE" w:rsidRDefault="00BE30D8" w:rsidP="00F63B05">
            <w:pPr>
              <w:pStyle w:val="ListBullet2"/>
              <w:numPr>
                <w:ilvl w:val="2"/>
                <w:numId w:val="9"/>
              </w:numPr>
              <w:spacing w:before="0" w:after="0" w:line="240" w:lineRule="auto"/>
              <w:ind w:left="360"/>
              <w:jc w:val="left"/>
              <w:rPr>
                <w:rFonts w:eastAsia="Times New Roman" w:cs="Times New Roman"/>
                <w:szCs w:val="20"/>
                <w:lang w:eastAsia="en-GB"/>
              </w:rPr>
            </w:pPr>
            <w:r w:rsidRPr="001763AE">
              <w:rPr>
                <w:rFonts w:eastAsia="Times New Roman" w:cs="Times New Roman"/>
                <w:szCs w:val="20"/>
                <w:lang w:eastAsia="en-GB"/>
              </w:rPr>
              <w:t>Overall sc</w:t>
            </w:r>
            <w:r w:rsidR="00E724C7">
              <w:rPr>
                <w:rFonts w:eastAsia="Times New Roman" w:cs="Times New Roman"/>
                <w:szCs w:val="20"/>
                <w:lang w:eastAsia="en-GB"/>
              </w:rPr>
              <w:t>ore of the Financial Score Card</w:t>
            </w:r>
            <w:r w:rsidR="008A6CE4" w:rsidRPr="001763AE">
              <w:rPr>
                <w:rFonts w:eastAsia="Times New Roman" w:cs="Times New Roman"/>
                <w:szCs w:val="20"/>
                <w:lang w:eastAsia="en-GB"/>
              </w:rPr>
              <w:t>.</w:t>
            </w:r>
          </w:p>
          <w:p w:rsidR="00427F20" w:rsidRPr="001763AE" w:rsidRDefault="00BE30D8" w:rsidP="00F63B05">
            <w:pPr>
              <w:pStyle w:val="ListBullet2"/>
              <w:numPr>
                <w:ilvl w:val="2"/>
                <w:numId w:val="9"/>
              </w:numPr>
              <w:spacing w:before="0" w:after="0" w:line="240" w:lineRule="auto"/>
              <w:ind w:left="360"/>
              <w:jc w:val="left"/>
              <w:rPr>
                <w:rFonts w:eastAsia="Times New Roman" w:cs="Times New Roman"/>
                <w:szCs w:val="20"/>
                <w:lang w:eastAsia="en-GB"/>
              </w:rPr>
            </w:pPr>
            <w:r w:rsidRPr="001763AE">
              <w:rPr>
                <w:rFonts w:eastAsia="Times New Roman" w:cs="Times New Roman"/>
                <w:szCs w:val="20"/>
                <w:lang w:eastAsia="en-GB"/>
              </w:rPr>
              <w:t>Trend in filling the funding gap</w:t>
            </w:r>
            <w:r w:rsidR="008A6CE4" w:rsidRPr="001763AE">
              <w:rPr>
                <w:rFonts w:eastAsia="Times New Roman" w:cs="Times New Roman"/>
                <w:szCs w:val="20"/>
                <w:lang w:eastAsia="en-GB"/>
              </w:rPr>
              <w:t>.</w:t>
            </w:r>
          </w:p>
          <w:p w:rsidR="00255D97" w:rsidRPr="001763AE" w:rsidRDefault="00BE30D8" w:rsidP="00F63B05">
            <w:pPr>
              <w:pStyle w:val="ListBullet2"/>
              <w:numPr>
                <w:ilvl w:val="2"/>
                <w:numId w:val="9"/>
              </w:numPr>
              <w:spacing w:before="0" w:after="0" w:line="240" w:lineRule="auto"/>
              <w:ind w:left="360"/>
              <w:jc w:val="left"/>
              <w:rPr>
                <w:rFonts w:eastAsia="Times New Roman" w:cs="Times New Roman"/>
                <w:szCs w:val="20"/>
                <w:lang w:eastAsia="en-GB"/>
              </w:rPr>
            </w:pPr>
            <w:r w:rsidRPr="001763AE">
              <w:rPr>
                <w:rFonts w:eastAsia="Times New Roman" w:cs="Times New Roman"/>
                <w:szCs w:val="20"/>
                <w:lang w:eastAsia="en-GB"/>
              </w:rPr>
              <w:t>Coverage of the Romanian Carpathian ecoregion with ens</w:t>
            </w:r>
            <w:r w:rsidR="00E0280A" w:rsidRPr="001763AE">
              <w:rPr>
                <w:rFonts w:eastAsia="Times New Roman" w:cs="Times New Roman"/>
                <w:szCs w:val="20"/>
                <w:lang w:eastAsia="en-GB"/>
              </w:rPr>
              <w:t>ured financial sust</w:t>
            </w:r>
            <w:r w:rsidR="008A6CE4" w:rsidRPr="001763AE">
              <w:rPr>
                <w:rFonts w:eastAsia="Times New Roman" w:cs="Times New Roman"/>
                <w:szCs w:val="20"/>
                <w:lang w:eastAsia="en-GB"/>
              </w:rPr>
              <w:t>ainability.</w:t>
            </w:r>
          </w:p>
        </w:tc>
      </w:tr>
      <w:tr w:rsidR="002A3CBC" w:rsidRPr="001763AE" w:rsidTr="00294C8C">
        <w:trPr>
          <w:trHeight w:val="955"/>
        </w:trPr>
        <w:tc>
          <w:tcPr>
            <w:tcW w:w="1116" w:type="pct"/>
          </w:tcPr>
          <w:p w:rsidR="002A3CBC" w:rsidRPr="001763AE" w:rsidRDefault="002A3CBC" w:rsidP="00F63B05">
            <w:pPr>
              <w:spacing w:line="240" w:lineRule="auto"/>
              <w:rPr>
                <w:szCs w:val="20"/>
              </w:rPr>
            </w:pPr>
            <w:r w:rsidRPr="001763AE">
              <w:rPr>
                <w:b/>
                <w:i/>
                <w:szCs w:val="20"/>
              </w:rPr>
              <w:t>Outcome 1: Supportive legislative framework and Sustainable PA Financing Strategy</w:t>
            </w:r>
          </w:p>
        </w:tc>
        <w:tc>
          <w:tcPr>
            <w:tcW w:w="1201" w:type="pct"/>
          </w:tcPr>
          <w:p w:rsidR="002A3CBC" w:rsidRPr="001763AE" w:rsidRDefault="002A3CBC" w:rsidP="00284A10">
            <w:pPr>
              <w:spacing w:line="240" w:lineRule="auto"/>
              <w:rPr>
                <w:szCs w:val="20"/>
              </w:rPr>
            </w:pPr>
            <w:r w:rsidRPr="001763AE">
              <w:rPr>
                <w:b/>
                <w:szCs w:val="20"/>
              </w:rPr>
              <w:t>Output 1</w:t>
            </w:r>
            <w:r w:rsidR="00284A10" w:rsidRPr="001763AE">
              <w:rPr>
                <w:b/>
                <w:szCs w:val="20"/>
              </w:rPr>
              <w:t>.</w:t>
            </w:r>
            <w:r w:rsidRPr="001763AE">
              <w:rPr>
                <w:b/>
                <w:szCs w:val="20"/>
              </w:rPr>
              <w:t>1:</w:t>
            </w:r>
            <w:r w:rsidRPr="001763AE">
              <w:rPr>
                <w:szCs w:val="20"/>
              </w:rPr>
              <w:t xml:space="preserve"> A set of by-laws developed and amendments to existing laws adopted</w:t>
            </w:r>
            <w:r w:rsidR="008A6CE4" w:rsidRPr="001763AE">
              <w:rPr>
                <w:szCs w:val="20"/>
              </w:rPr>
              <w:t>.</w:t>
            </w:r>
          </w:p>
        </w:tc>
        <w:tc>
          <w:tcPr>
            <w:tcW w:w="1274" w:type="pct"/>
          </w:tcPr>
          <w:p w:rsidR="002A3CBC" w:rsidRPr="001763AE" w:rsidRDefault="002A3CBC" w:rsidP="00284A10">
            <w:pPr>
              <w:spacing w:line="240" w:lineRule="auto"/>
              <w:rPr>
                <w:szCs w:val="20"/>
              </w:rPr>
            </w:pPr>
            <w:r w:rsidRPr="001763AE">
              <w:rPr>
                <w:b/>
                <w:szCs w:val="20"/>
              </w:rPr>
              <w:t>Output 1</w:t>
            </w:r>
            <w:r w:rsidR="00284A10" w:rsidRPr="001763AE">
              <w:rPr>
                <w:b/>
                <w:szCs w:val="20"/>
              </w:rPr>
              <w:t>.</w:t>
            </w:r>
            <w:r w:rsidRPr="001763AE">
              <w:rPr>
                <w:b/>
                <w:szCs w:val="20"/>
              </w:rPr>
              <w:t>1</w:t>
            </w:r>
            <w:r w:rsidRPr="001763AE">
              <w:rPr>
                <w:szCs w:val="20"/>
              </w:rPr>
              <w:t>: A set of by-laws and amendments to the existing legislation develop</w:t>
            </w:r>
            <w:r w:rsidR="008A6CE4" w:rsidRPr="001763AE">
              <w:rPr>
                <w:szCs w:val="20"/>
              </w:rPr>
              <w:t>ed and promoted.</w:t>
            </w:r>
          </w:p>
        </w:tc>
        <w:tc>
          <w:tcPr>
            <w:tcW w:w="1410" w:type="pct"/>
            <w:vMerge w:val="restart"/>
          </w:tcPr>
          <w:p w:rsidR="00427F20" w:rsidRPr="001763AE" w:rsidRDefault="00204F3C" w:rsidP="00F63B05">
            <w:pPr>
              <w:numPr>
                <w:ilvl w:val="0"/>
                <w:numId w:val="21"/>
              </w:numPr>
              <w:spacing w:line="240" w:lineRule="auto"/>
              <w:rPr>
                <w:rFonts w:eastAsia="Times New Roman"/>
                <w:szCs w:val="20"/>
                <w:lang w:eastAsia="en-GB"/>
              </w:rPr>
            </w:pPr>
            <w:r w:rsidRPr="001763AE">
              <w:rPr>
                <w:rFonts w:eastAsia="Times New Roman"/>
                <w:szCs w:val="20"/>
                <w:lang w:eastAsia="en-GB"/>
              </w:rPr>
              <w:t xml:space="preserve">(As modified at inception) </w:t>
            </w:r>
            <w:r w:rsidR="004F23FF" w:rsidRPr="001763AE">
              <w:rPr>
                <w:rFonts w:eastAsia="Times New Roman"/>
                <w:szCs w:val="20"/>
                <w:lang w:eastAsia="en-GB"/>
              </w:rPr>
              <w:t>Number of sets of suggestions and regulations for the improveme</w:t>
            </w:r>
            <w:r w:rsidR="008A6CE4" w:rsidRPr="001763AE">
              <w:rPr>
                <w:rFonts w:eastAsia="Times New Roman"/>
                <w:szCs w:val="20"/>
                <w:lang w:eastAsia="en-GB"/>
              </w:rPr>
              <w:t xml:space="preserve">nt of PA financing legislation, </w:t>
            </w:r>
            <w:r w:rsidR="004F23FF" w:rsidRPr="001763AE">
              <w:rPr>
                <w:rFonts w:eastAsia="Times New Roman"/>
                <w:szCs w:val="20"/>
                <w:lang w:eastAsia="en-GB"/>
              </w:rPr>
              <w:t>developed and promoted (to political decision makers)</w:t>
            </w:r>
            <w:r w:rsidR="00E724C7">
              <w:rPr>
                <w:rFonts w:eastAsia="Times New Roman"/>
                <w:szCs w:val="20"/>
                <w:lang w:eastAsia="en-GB"/>
              </w:rPr>
              <w:t>.</w:t>
            </w:r>
          </w:p>
          <w:p w:rsidR="004F23FF" w:rsidRPr="001763AE" w:rsidRDefault="004F23FF" w:rsidP="00F63B05">
            <w:pPr>
              <w:numPr>
                <w:ilvl w:val="0"/>
                <w:numId w:val="21"/>
              </w:numPr>
              <w:spacing w:line="240" w:lineRule="auto"/>
              <w:rPr>
                <w:rFonts w:eastAsia="Times New Roman"/>
                <w:szCs w:val="20"/>
                <w:lang w:eastAsia="en-GB"/>
              </w:rPr>
            </w:pPr>
            <w:r w:rsidRPr="001763AE">
              <w:rPr>
                <w:rFonts w:eastAsia="Times New Roman"/>
                <w:szCs w:val="20"/>
                <w:lang w:eastAsia="en-GB"/>
              </w:rPr>
              <w:t>Funding gap for the Romanian Carpathian PA system</w:t>
            </w:r>
            <w:r w:rsidR="008A6CE4" w:rsidRPr="001763AE">
              <w:rPr>
                <w:rFonts w:eastAsia="Times New Roman"/>
                <w:szCs w:val="20"/>
                <w:lang w:eastAsia="en-GB"/>
              </w:rPr>
              <w:t>.</w:t>
            </w:r>
          </w:p>
          <w:p w:rsidR="004F23FF" w:rsidRPr="001763AE" w:rsidRDefault="004F23FF" w:rsidP="00F63B05">
            <w:pPr>
              <w:numPr>
                <w:ilvl w:val="0"/>
                <w:numId w:val="21"/>
              </w:numPr>
              <w:spacing w:line="240" w:lineRule="auto"/>
              <w:rPr>
                <w:rFonts w:eastAsia="Times New Roman"/>
                <w:szCs w:val="20"/>
                <w:lang w:eastAsia="en-GB"/>
              </w:rPr>
            </w:pPr>
            <w:r w:rsidRPr="001763AE">
              <w:rPr>
                <w:rFonts w:eastAsia="Times New Roman"/>
                <w:szCs w:val="20"/>
                <w:lang w:eastAsia="en-GB"/>
              </w:rPr>
              <w:t>Amount of allocations from Ministry of Environment for Carpathian P</w:t>
            </w:r>
            <w:r w:rsidR="008A6CE4" w:rsidRPr="001763AE">
              <w:rPr>
                <w:rFonts w:eastAsia="Times New Roman"/>
                <w:szCs w:val="20"/>
                <w:lang w:eastAsia="en-GB"/>
              </w:rPr>
              <w:t>A</w:t>
            </w:r>
            <w:r w:rsidRPr="001763AE">
              <w:rPr>
                <w:rFonts w:eastAsia="Times New Roman"/>
                <w:szCs w:val="20"/>
                <w:lang w:eastAsia="en-GB"/>
              </w:rPr>
              <w:t>s</w:t>
            </w:r>
            <w:r w:rsidR="008A6CE4" w:rsidRPr="001763AE">
              <w:rPr>
                <w:rFonts w:eastAsia="Times New Roman"/>
                <w:szCs w:val="20"/>
                <w:lang w:eastAsia="en-GB"/>
              </w:rPr>
              <w:t>.</w:t>
            </w:r>
          </w:p>
          <w:p w:rsidR="004F23FF" w:rsidRPr="001763AE" w:rsidRDefault="004F23FF" w:rsidP="00F63B05">
            <w:pPr>
              <w:numPr>
                <w:ilvl w:val="0"/>
                <w:numId w:val="21"/>
              </w:numPr>
              <w:spacing w:line="240" w:lineRule="auto"/>
              <w:rPr>
                <w:rFonts w:eastAsia="Times New Roman"/>
                <w:szCs w:val="20"/>
                <w:lang w:eastAsia="en-GB"/>
              </w:rPr>
            </w:pPr>
            <w:r w:rsidRPr="001763AE">
              <w:rPr>
                <w:rFonts w:eastAsia="Times New Roman"/>
                <w:szCs w:val="20"/>
                <w:lang w:eastAsia="en-GB"/>
              </w:rPr>
              <w:t>Compensation payments to forest users</w:t>
            </w:r>
            <w:r w:rsidR="008A6CE4" w:rsidRPr="001763AE">
              <w:rPr>
                <w:rFonts w:eastAsia="Times New Roman"/>
                <w:szCs w:val="20"/>
                <w:lang w:eastAsia="en-GB"/>
              </w:rPr>
              <w:t>.</w:t>
            </w:r>
          </w:p>
          <w:p w:rsidR="00427F20" w:rsidRPr="001763AE" w:rsidRDefault="004F23FF" w:rsidP="00F63B05">
            <w:pPr>
              <w:numPr>
                <w:ilvl w:val="0"/>
                <w:numId w:val="21"/>
              </w:numPr>
              <w:spacing w:line="240" w:lineRule="auto"/>
              <w:rPr>
                <w:rFonts w:eastAsia="Times New Roman"/>
                <w:szCs w:val="20"/>
                <w:lang w:eastAsia="en-GB"/>
              </w:rPr>
            </w:pPr>
            <w:r w:rsidRPr="001763AE">
              <w:rPr>
                <w:rFonts w:eastAsia="Times New Roman"/>
                <w:szCs w:val="20"/>
                <w:lang w:eastAsia="en-GB"/>
              </w:rPr>
              <w:t>Number and level of central budget transfers</w:t>
            </w:r>
            <w:r w:rsidR="00427F20" w:rsidRPr="001763AE">
              <w:rPr>
                <w:rFonts w:eastAsia="Times New Roman"/>
                <w:szCs w:val="20"/>
                <w:lang w:eastAsia="en-GB"/>
              </w:rPr>
              <w:t>.</w:t>
            </w:r>
          </w:p>
          <w:p w:rsidR="004F23FF" w:rsidRPr="001763AE" w:rsidRDefault="004F23FF" w:rsidP="00F63B05">
            <w:pPr>
              <w:numPr>
                <w:ilvl w:val="0"/>
                <w:numId w:val="21"/>
              </w:numPr>
              <w:spacing w:line="240" w:lineRule="auto"/>
              <w:rPr>
                <w:rFonts w:eastAsia="Times New Roman"/>
                <w:szCs w:val="20"/>
                <w:lang w:eastAsia="en-GB"/>
              </w:rPr>
            </w:pPr>
            <w:r w:rsidRPr="001763AE">
              <w:rPr>
                <w:rFonts w:eastAsia="Times New Roman"/>
                <w:szCs w:val="20"/>
                <w:lang w:eastAsia="en-GB"/>
              </w:rPr>
              <w:t>Number of cases for environmental compensation and level of fees</w:t>
            </w:r>
            <w:r w:rsidR="008A6CE4" w:rsidRPr="001763AE">
              <w:rPr>
                <w:rFonts w:eastAsia="Times New Roman"/>
                <w:szCs w:val="20"/>
                <w:lang w:eastAsia="en-GB"/>
              </w:rPr>
              <w:t>.</w:t>
            </w:r>
          </w:p>
          <w:p w:rsidR="004F23FF" w:rsidRPr="001763AE" w:rsidRDefault="004F23FF" w:rsidP="00F63B05">
            <w:pPr>
              <w:numPr>
                <w:ilvl w:val="0"/>
                <w:numId w:val="21"/>
              </w:numPr>
              <w:spacing w:line="240" w:lineRule="auto"/>
              <w:rPr>
                <w:rFonts w:eastAsia="Times New Roman"/>
                <w:szCs w:val="20"/>
                <w:lang w:eastAsia="en-GB"/>
              </w:rPr>
            </w:pPr>
            <w:r w:rsidRPr="001763AE">
              <w:rPr>
                <w:rFonts w:eastAsia="Times New Roman"/>
                <w:szCs w:val="20"/>
                <w:lang w:eastAsia="en-GB"/>
              </w:rPr>
              <w:t>Number of sites in Carpathians with business plans and cost-reduction strategies</w:t>
            </w:r>
            <w:r w:rsidR="008A6CE4" w:rsidRPr="001763AE">
              <w:rPr>
                <w:rFonts w:eastAsia="Times New Roman"/>
                <w:szCs w:val="20"/>
                <w:lang w:eastAsia="en-GB"/>
              </w:rPr>
              <w:t>.</w:t>
            </w:r>
          </w:p>
          <w:p w:rsidR="004F23FF" w:rsidRPr="001763AE" w:rsidRDefault="004F23FF" w:rsidP="00F63B05">
            <w:pPr>
              <w:numPr>
                <w:ilvl w:val="0"/>
                <w:numId w:val="21"/>
              </w:numPr>
              <w:spacing w:line="240" w:lineRule="auto"/>
              <w:rPr>
                <w:rFonts w:eastAsia="Times New Roman"/>
                <w:szCs w:val="20"/>
                <w:lang w:eastAsia="en-GB"/>
              </w:rPr>
            </w:pPr>
            <w:r w:rsidRPr="001763AE">
              <w:rPr>
                <w:rFonts w:eastAsia="Times New Roman"/>
                <w:szCs w:val="20"/>
                <w:lang w:eastAsia="en-GB"/>
              </w:rPr>
              <w:t>Number of sites with diversified market-based instruments for PA funding</w:t>
            </w:r>
            <w:r w:rsidR="00284A10" w:rsidRPr="001763AE">
              <w:rPr>
                <w:rFonts w:eastAsia="Times New Roman"/>
                <w:szCs w:val="20"/>
                <w:lang w:eastAsia="en-GB"/>
              </w:rPr>
              <w:t>.</w:t>
            </w:r>
          </w:p>
          <w:p w:rsidR="002A3CBC" w:rsidRPr="001763AE" w:rsidRDefault="004F23FF" w:rsidP="00F63B05">
            <w:pPr>
              <w:numPr>
                <w:ilvl w:val="0"/>
                <w:numId w:val="21"/>
              </w:numPr>
              <w:spacing w:line="240" w:lineRule="auto"/>
              <w:rPr>
                <w:rFonts w:eastAsia="Times New Roman"/>
                <w:szCs w:val="20"/>
                <w:lang w:eastAsia="en-GB"/>
              </w:rPr>
            </w:pPr>
            <w:r w:rsidRPr="001763AE">
              <w:rPr>
                <w:rFonts w:eastAsia="Times New Roman"/>
                <w:szCs w:val="20"/>
                <w:lang w:eastAsia="en-GB"/>
              </w:rPr>
              <w:t>Number of cost-saving strategies in place at PA system level</w:t>
            </w:r>
            <w:r w:rsidR="00284A10" w:rsidRPr="001763AE">
              <w:rPr>
                <w:rFonts w:eastAsia="Times New Roman"/>
                <w:szCs w:val="20"/>
                <w:lang w:eastAsia="en-GB"/>
              </w:rPr>
              <w:t>.</w:t>
            </w:r>
          </w:p>
        </w:tc>
      </w:tr>
      <w:tr w:rsidR="002A3CBC" w:rsidRPr="001763AE" w:rsidTr="00294C8C">
        <w:trPr>
          <w:trHeight w:val="20"/>
        </w:trPr>
        <w:tc>
          <w:tcPr>
            <w:tcW w:w="1116" w:type="pct"/>
          </w:tcPr>
          <w:p w:rsidR="002A3CBC" w:rsidRPr="001763AE" w:rsidRDefault="002A3CBC" w:rsidP="00F63B05">
            <w:pPr>
              <w:spacing w:line="240" w:lineRule="auto"/>
              <w:rPr>
                <w:b/>
                <w:szCs w:val="20"/>
              </w:rPr>
            </w:pPr>
          </w:p>
        </w:tc>
        <w:tc>
          <w:tcPr>
            <w:tcW w:w="1201" w:type="pct"/>
          </w:tcPr>
          <w:p w:rsidR="002A3CBC" w:rsidRPr="001763AE" w:rsidRDefault="002A3CBC" w:rsidP="00284A10">
            <w:pPr>
              <w:spacing w:line="240" w:lineRule="auto"/>
              <w:rPr>
                <w:szCs w:val="20"/>
              </w:rPr>
            </w:pPr>
            <w:r w:rsidRPr="001763AE">
              <w:rPr>
                <w:b/>
                <w:szCs w:val="20"/>
              </w:rPr>
              <w:t>Output 1</w:t>
            </w:r>
            <w:r w:rsidR="00284A10" w:rsidRPr="001763AE">
              <w:rPr>
                <w:b/>
                <w:szCs w:val="20"/>
              </w:rPr>
              <w:t>.</w:t>
            </w:r>
            <w:r w:rsidRPr="001763AE">
              <w:rPr>
                <w:b/>
                <w:szCs w:val="20"/>
              </w:rPr>
              <w:t>2:</w:t>
            </w:r>
            <w:r w:rsidRPr="001763AE">
              <w:rPr>
                <w:szCs w:val="20"/>
              </w:rPr>
              <w:t xml:space="preserve"> Sustainable Financing Strategy (SFS) for 22 large PAs in the Romanian portion of the Carpathians developed</w:t>
            </w:r>
            <w:r w:rsidR="008A6CE4" w:rsidRPr="001763AE">
              <w:rPr>
                <w:szCs w:val="20"/>
              </w:rPr>
              <w:t>.</w:t>
            </w:r>
          </w:p>
        </w:tc>
        <w:tc>
          <w:tcPr>
            <w:tcW w:w="1274" w:type="pct"/>
          </w:tcPr>
          <w:p w:rsidR="002A3CBC" w:rsidRPr="001763AE" w:rsidRDefault="002A3CBC" w:rsidP="00284A10">
            <w:pPr>
              <w:spacing w:line="240" w:lineRule="auto"/>
              <w:rPr>
                <w:szCs w:val="20"/>
              </w:rPr>
            </w:pPr>
            <w:r w:rsidRPr="001763AE">
              <w:rPr>
                <w:b/>
                <w:szCs w:val="20"/>
              </w:rPr>
              <w:t>Output 1</w:t>
            </w:r>
            <w:r w:rsidR="00284A10" w:rsidRPr="001763AE">
              <w:rPr>
                <w:b/>
                <w:szCs w:val="20"/>
              </w:rPr>
              <w:t>.</w:t>
            </w:r>
            <w:r w:rsidRPr="001763AE">
              <w:rPr>
                <w:b/>
                <w:szCs w:val="20"/>
              </w:rPr>
              <w:t>2:</w:t>
            </w:r>
            <w:r w:rsidRPr="001763AE">
              <w:rPr>
                <w:szCs w:val="20"/>
              </w:rPr>
              <w:t xml:space="preserve"> Sustainable Financing Strategy (SFS) and Action Plan</w:t>
            </w:r>
            <w:r w:rsidR="0025256D">
              <w:rPr>
                <w:szCs w:val="20"/>
              </w:rPr>
              <w:t xml:space="preserve"> </w:t>
            </w:r>
            <w:r w:rsidRPr="001763AE">
              <w:rPr>
                <w:szCs w:val="20"/>
              </w:rPr>
              <w:t>for 22 large PAs in the Romanian porti</w:t>
            </w:r>
            <w:r w:rsidR="008A6CE4" w:rsidRPr="001763AE">
              <w:rPr>
                <w:szCs w:val="20"/>
              </w:rPr>
              <w:t>on of the Carpathians developed.</w:t>
            </w:r>
          </w:p>
        </w:tc>
        <w:tc>
          <w:tcPr>
            <w:tcW w:w="1410" w:type="pct"/>
            <w:vMerge/>
            <w:vAlign w:val="center"/>
          </w:tcPr>
          <w:p w:rsidR="002A3CBC" w:rsidRPr="001763AE" w:rsidRDefault="002A3CBC" w:rsidP="00F63B05">
            <w:pPr>
              <w:pStyle w:val="ListBullet2"/>
              <w:spacing w:before="0" w:after="0" w:line="240" w:lineRule="auto"/>
              <w:ind w:left="0"/>
              <w:jc w:val="center"/>
              <w:rPr>
                <w:rFonts w:eastAsia="Times New Roman" w:cs="Times New Roman"/>
                <w:b/>
                <w:szCs w:val="20"/>
                <w:lang w:eastAsia="en-GB"/>
              </w:rPr>
            </w:pPr>
          </w:p>
        </w:tc>
      </w:tr>
      <w:tr w:rsidR="00D76634" w:rsidRPr="001763AE" w:rsidTr="00294C8C">
        <w:trPr>
          <w:trHeight w:val="20"/>
        </w:trPr>
        <w:tc>
          <w:tcPr>
            <w:tcW w:w="1116" w:type="pct"/>
          </w:tcPr>
          <w:p w:rsidR="00D76634" w:rsidRPr="001763AE" w:rsidRDefault="00D76634" w:rsidP="00F63B05">
            <w:pPr>
              <w:pStyle w:val="ListParagraph"/>
              <w:spacing w:before="0" w:after="0" w:line="240" w:lineRule="auto"/>
              <w:ind w:left="0"/>
              <w:rPr>
                <w:b/>
                <w:szCs w:val="20"/>
              </w:rPr>
            </w:pPr>
          </w:p>
        </w:tc>
        <w:tc>
          <w:tcPr>
            <w:tcW w:w="2475" w:type="pct"/>
            <w:gridSpan w:val="2"/>
          </w:tcPr>
          <w:p w:rsidR="00D76634" w:rsidRPr="001763AE" w:rsidRDefault="00E2271C" w:rsidP="00284A10">
            <w:pPr>
              <w:spacing w:line="240" w:lineRule="auto"/>
              <w:rPr>
                <w:b/>
                <w:szCs w:val="20"/>
              </w:rPr>
            </w:pPr>
            <w:r w:rsidRPr="001763AE">
              <w:rPr>
                <w:b/>
                <w:szCs w:val="20"/>
              </w:rPr>
              <w:t>Output 1.3:</w:t>
            </w:r>
            <w:r w:rsidRPr="001763AE">
              <w:rPr>
                <w:szCs w:val="20"/>
              </w:rPr>
              <w:t xml:space="preserve"> Government commits to gradually increase funding (e. g</w:t>
            </w:r>
            <w:r>
              <w:rPr>
                <w:szCs w:val="20"/>
              </w:rPr>
              <w:t xml:space="preserve">. </w:t>
            </w:r>
            <w:r w:rsidRPr="001763AE">
              <w:rPr>
                <w:szCs w:val="20"/>
              </w:rPr>
              <w:t>20% yearly increases from 2007 level) for the targeted PAs.</w:t>
            </w:r>
          </w:p>
        </w:tc>
        <w:tc>
          <w:tcPr>
            <w:tcW w:w="1410" w:type="pct"/>
            <w:vMerge/>
            <w:vAlign w:val="center"/>
          </w:tcPr>
          <w:p w:rsidR="00D76634" w:rsidRPr="001763AE" w:rsidRDefault="00D76634" w:rsidP="00F63B05">
            <w:pPr>
              <w:pStyle w:val="ListBullet2"/>
              <w:spacing w:before="0" w:after="0" w:line="240" w:lineRule="auto"/>
              <w:ind w:left="0"/>
              <w:jc w:val="center"/>
              <w:rPr>
                <w:rFonts w:eastAsia="Times New Roman" w:cs="Times New Roman"/>
                <w:b/>
                <w:szCs w:val="20"/>
                <w:lang w:eastAsia="en-GB"/>
              </w:rPr>
            </w:pPr>
          </w:p>
        </w:tc>
      </w:tr>
      <w:tr w:rsidR="002A3CBC" w:rsidRPr="001763AE" w:rsidTr="00294C8C">
        <w:trPr>
          <w:trHeight w:val="20"/>
        </w:trPr>
        <w:tc>
          <w:tcPr>
            <w:tcW w:w="1116" w:type="pct"/>
          </w:tcPr>
          <w:p w:rsidR="002A3CBC" w:rsidRPr="001763AE" w:rsidRDefault="002A3CBC" w:rsidP="00F63B05">
            <w:pPr>
              <w:spacing w:line="240" w:lineRule="auto"/>
              <w:rPr>
                <w:b/>
                <w:szCs w:val="20"/>
              </w:rPr>
            </w:pPr>
          </w:p>
        </w:tc>
        <w:tc>
          <w:tcPr>
            <w:tcW w:w="1201" w:type="pct"/>
          </w:tcPr>
          <w:p w:rsidR="002A3CBC" w:rsidRPr="001763AE" w:rsidRDefault="002A3CBC" w:rsidP="00284A10">
            <w:pPr>
              <w:spacing w:line="240" w:lineRule="auto"/>
              <w:rPr>
                <w:szCs w:val="20"/>
              </w:rPr>
            </w:pPr>
            <w:r w:rsidRPr="001763AE">
              <w:rPr>
                <w:b/>
                <w:szCs w:val="20"/>
              </w:rPr>
              <w:t>Output 1</w:t>
            </w:r>
            <w:r w:rsidR="00284A10" w:rsidRPr="001763AE">
              <w:rPr>
                <w:b/>
                <w:szCs w:val="20"/>
              </w:rPr>
              <w:t>.</w:t>
            </w:r>
            <w:r w:rsidRPr="001763AE">
              <w:rPr>
                <w:b/>
                <w:szCs w:val="20"/>
              </w:rPr>
              <w:t>4:</w:t>
            </w:r>
            <w:r w:rsidRPr="001763AE">
              <w:rPr>
                <w:szCs w:val="20"/>
              </w:rPr>
              <w:t xml:space="preserve"> Model business plans developed to demonstrate specific market-based revenue mechanisms for 5 clusters of PAs in the Romanian Carpathians</w:t>
            </w:r>
            <w:r w:rsidR="00427F20" w:rsidRPr="001763AE">
              <w:rPr>
                <w:szCs w:val="20"/>
              </w:rPr>
              <w:t xml:space="preserve">. </w:t>
            </w:r>
          </w:p>
        </w:tc>
        <w:tc>
          <w:tcPr>
            <w:tcW w:w="1274" w:type="pct"/>
          </w:tcPr>
          <w:p w:rsidR="002A3CBC" w:rsidRPr="001763AE" w:rsidRDefault="002A3CBC" w:rsidP="00284A10">
            <w:pPr>
              <w:pStyle w:val="ListBullet2"/>
              <w:tabs>
                <w:tab w:val="clear" w:pos="1080"/>
              </w:tabs>
              <w:spacing w:before="0" w:after="0" w:line="240" w:lineRule="auto"/>
              <w:ind w:left="0"/>
              <w:jc w:val="left"/>
              <w:rPr>
                <w:rFonts w:eastAsia="Times New Roman" w:cs="Times New Roman"/>
                <w:szCs w:val="20"/>
                <w:lang w:eastAsia="en-GB"/>
              </w:rPr>
            </w:pPr>
            <w:r w:rsidRPr="001763AE">
              <w:rPr>
                <w:b/>
                <w:szCs w:val="20"/>
              </w:rPr>
              <w:t>Output 1</w:t>
            </w:r>
            <w:r w:rsidR="00284A10" w:rsidRPr="001763AE">
              <w:rPr>
                <w:b/>
                <w:szCs w:val="20"/>
              </w:rPr>
              <w:t>.</w:t>
            </w:r>
            <w:r w:rsidRPr="001763AE">
              <w:rPr>
                <w:b/>
                <w:szCs w:val="20"/>
              </w:rPr>
              <w:t>4:</w:t>
            </w:r>
            <w:r w:rsidRPr="001763AE">
              <w:rPr>
                <w:szCs w:val="20"/>
              </w:rPr>
              <w:t xml:space="preserve"> Model business plans developed to demonstrate specific market-based revenue mechanisms for </w:t>
            </w:r>
            <w:r w:rsidR="00BE4C65" w:rsidRPr="001763AE">
              <w:rPr>
                <w:szCs w:val="20"/>
              </w:rPr>
              <w:t>five</w:t>
            </w:r>
            <w:r w:rsidRPr="001763AE">
              <w:rPr>
                <w:szCs w:val="20"/>
              </w:rPr>
              <w:t xml:space="preserve"> clusters of PAs in the Romanian Carpathians (including Calimani National Park)</w:t>
            </w:r>
            <w:r w:rsidR="008A6CE4" w:rsidRPr="001763AE">
              <w:rPr>
                <w:szCs w:val="20"/>
              </w:rPr>
              <w:t>.</w:t>
            </w:r>
          </w:p>
        </w:tc>
        <w:tc>
          <w:tcPr>
            <w:tcW w:w="1410" w:type="pct"/>
            <w:vMerge/>
            <w:vAlign w:val="center"/>
          </w:tcPr>
          <w:p w:rsidR="002A3CBC" w:rsidRPr="001763AE" w:rsidRDefault="002A3CBC" w:rsidP="00F63B05">
            <w:pPr>
              <w:pStyle w:val="ListBullet2"/>
              <w:tabs>
                <w:tab w:val="clear" w:pos="1080"/>
              </w:tabs>
              <w:spacing w:before="0" w:after="0" w:line="240" w:lineRule="auto"/>
              <w:ind w:left="0"/>
              <w:jc w:val="center"/>
              <w:rPr>
                <w:rFonts w:eastAsia="Times New Roman" w:cs="Times New Roman"/>
                <w:b/>
                <w:szCs w:val="20"/>
                <w:lang w:eastAsia="en-GB"/>
              </w:rPr>
            </w:pPr>
          </w:p>
        </w:tc>
      </w:tr>
      <w:tr w:rsidR="003F7D9D" w:rsidRPr="001763AE" w:rsidTr="00294C8C">
        <w:trPr>
          <w:trHeight w:val="20"/>
        </w:trPr>
        <w:tc>
          <w:tcPr>
            <w:tcW w:w="1116" w:type="pct"/>
          </w:tcPr>
          <w:p w:rsidR="003F7D9D" w:rsidRPr="001763AE" w:rsidRDefault="003F7D9D" w:rsidP="00F63B05">
            <w:pPr>
              <w:spacing w:line="240" w:lineRule="auto"/>
              <w:rPr>
                <w:b/>
                <w:szCs w:val="20"/>
              </w:rPr>
            </w:pPr>
          </w:p>
        </w:tc>
        <w:tc>
          <w:tcPr>
            <w:tcW w:w="2475" w:type="pct"/>
            <w:gridSpan w:val="2"/>
          </w:tcPr>
          <w:p w:rsidR="003F7D9D" w:rsidRPr="001763AE" w:rsidRDefault="003F7D9D" w:rsidP="00284A10">
            <w:pPr>
              <w:pStyle w:val="ListBullet2"/>
              <w:tabs>
                <w:tab w:val="clear" w:pos="1080"/>
              </w:tabs>
              <w:spacing w:before="0" w:after="0" w:line="240" w:lineRule="auto"/>
              <w:ind w:left="0"/>
              <w:jc w:val="left"/>
              <w:rPr>
                <w:szCs w:val="20"/>
              </w:rPr>
            </w:pPr>
            <w:r w:rsidRPr="001763AE">
              <w:rPr>
                <w:b/>
                <w:szCs w:val="20"/>
              </w:rPr>
              <w:t>Output 1</w:t>
            </w:r>
            <w:r w:rsidR="006C3433" w:rsidRPr="001763AE">
              <w:rPr>
                <w:b/>
                <w:szCs w:val="20"/>
              </w:rPr>
              <w:t>.5</w:t>
            </w:r>
            <w:r w:rsidRPr="001763AE">
              <w:rPr>
                <w:b/>
                <w:szCs w:val="20"/>
              </w:rPr>
              <w:t>:</w:t>
            </w:r>
            <w:r w:rsidRPr="001763AE">
              <w:rPr>
                <w:szCs w:val="20"/>
              </w:rPr>
              <w:t xml:space="preserve"> A set of PA diversified income-generation mechanisms (market and non-market options) validated in at least </w:t>
            </w:r>
            <w:r w:rsidR="00BE4C65" w:rsidRPr="001763AE">
              <w:rPr>
                <w:szCs w:val="20"/>
              </w:rPr>
              <w:t>three</w:t>
            </w:r>
            <w:r w:rsidRPr="001763AE">
              <w:rPr>
                <w:szCs w:val="20"/>
              </w:rPr>
              <w:t xml:space="preserve"> PAs (Vanatori Neamt Nature Park, Piatra Craiului National Park and Maramuresului Mountains Nature Park)</w:t>
            </w:r>
            <w:r w:rsidR="00427F20" w:rsidRPr="001763AE">
              <w:rPr>
                <w:szCs w:val="20"/>
              </w:rPr>
              <w:t xml:space="preserve">. </w:t>
            </w:r>
          </w:p>
        </w:tc>
        <w:tc>
          <w:tcPr>
            <w:tcW w:w="1410" w:type="pct"/>
            <w:vMerge/>
            <w:vAlign w:val="center"/>
          </w:tcPr>
          <w:p w:rsidR="003F7D9D" w:rsidRPr="001763AE" w:rsidRDefault="003F7D9D" w:rsidP="00F63B05">
            <w:pPr>
              <w:pStyle w:val="ListBullet2"/>
              <w:tabs>
                <w:tab w:val="clear" w:pos="1080"/>
              </w:tabs>
              <w:spacing w:before="0" w:after="0" w:line="240" w:lineRule="auto"/>
              <w:ind w:left="0"/>
              <w:jc w:val="center"/>
              <w:rPr>
                <w:b/>
                <w:szCs w:val="20"/>
              </w:rPr>
            </w:pPr>
          </w:p>
        </w:tc>
      </w:tr>
      <w:tr w:rsidR="002A3CBC" w:rsidRPr="001763AE" w:rsidTr="00294C8C">
        <w:trPr>
          <w:trHeight w:val="20"/>
        </w:trPr>
        <w:tc>
          <w:tcPr>
            <w:tcW w:w="1116" w:type="pct"/>
          </w:tcPr>
          <w:p w:rsidR="002A3CBC" w:rsidRPr="001763AE" w:rsidRDefault="002A3CBC" w:rsidP="00F63B05">
            <w:pPr>
              <w:pStyle w:val="ListBullet2"/>
              <w:tabs>
                <w:tab w:val="clear" w:pos="1080"/>
              </w:tabs>
              <w:spacing w:before="0" w:after="0" w:line="240" w:lineRule="auto"/>
              <w:ind w:left="0"/>
              <w:jc w:val="left"/>
              <w:rPr>
                <w:szCs w:val="20"/>
              </w:rPr>
            </w:pPr>
            <w:r w:rsidRPr="001763AE">
              <w:rPr>
                <w:b/>
                <w:i/>
                <w:szCs w:val="20"/>
              </w:rPr>
              <w:t>Outcome 2</w:t>
            </w:r>
            <w:r w:rsidRPr="001763AE">
              <w:rPr>
                <w:szCs w:val="20"/>
              </w:rPr>
              <w:t xml:space="preserve">: </w:t>
            </w:r>
            <w:r w:rsidRPr="001763AE">
              <w:rPr>
                <w:b/>
                <w:i/>
                <w:szCs w:val="20"/>
              </w:rPr>
              <w:t>Institutional and individual capacities of management authorities and other local stakeholders to realize sustainable financing of PAs developed</w:t>
            </w:r>
          </w:p>
        </w:tc>
        <w:tc>
          <w:tcPr>
            <w:tcW w:w="1201" w:type="pct"/>
          </w:tcPr>
          <w:p w:rsidR="002A3CBC" w:rsidRPr="001763AE" w:rsidRDefault="002A3CBC" w:rsidP="00284A10">
            <w:pPr>
              <w:spacing w:line="240" w:lineRule="auto"/>
              <w:rPr>
                <w:szCs w:val="20"/>
              </w:rPr>
            </w:pPr>
            <w:r w:rsidRPr="001763AE">
              <w:rPr>
                <w:b/>
                <w:szCs w:val="20"/>
              </w:rPr>
              <w:t>Output 2</w:t>
            </w:r>
            <w:r w:rsidR="00284A10" w:rsidRPr="001763AE">
              <w:rPr>
                <w:b/>
                <w:szCs w:val="20"/>
              </w:rPr>
              <w:t>.</w:t>
            </w:r>
            <w:r w:rsidRPr="001763AE">
              <w:rPr>
                <w:b/>
                <w:szCs w:val="20"/>
              </w:rPr>
              <w:t>1:</w:t>
            </w:r>
            <w:r w:rsidRPr="001763AE">
              <w:rPr>
                <w:szCs w:val="20"/>
              </w:rPr>
              <w:t xml:space="preserve"> A critical number of PA finance professionals (Minimum 33 staff, 3 from each PA including leading and cluster PAs) trained</w:t>
            </w:r>
          </w:p>
        </w:tc>
        <w:tc>
          <w:tcPr>
            <w:tcW w:w="1274" w:type="pct"/>
          </w:tcPr>
          <w:p w:rsidR="002A3CBC" w:rsidRPr="001763AE" w:rsidRDefault="002A3CBC" w:rsidP="00284A10">
            <w:pPr>
              <w:spacing w:line="240" w:lineRule="auto"/>
              <w:rPr>
                <w:color w:val="000000" w:themeColor="text1"/>
                <w:szCs w:val="20"/>
              </w:rPr>
            </w:pPr>
            <w:r w:rsidRPr="001763AE">
              <w:rPr>
                <w:b/>
                <w:color w:val="000000" w:themeColor="text1"/>
                <w:szCs w:val="20"/>
              </w:rPr>
              <w:t>Output 2</w:t>
            </w:r>
            <w:r w:rsidR="00284A10" w:rsidRPr="001763AE">
              <w:rPr>
                <w:b/>
                <w:color w:val="000000" w:themeColor="text1"/>
                <w:szCs w:val="20"/>
              </w:rPr>
              <w:t>.</w:t>
            </w:r>
            <w:r w:rsidRPr="001763AE">
              <w:rPr>
                <w:b/>
                <w:color w:val="000000" w:themeColor="text1"/>
                <w:szCs w:val="20"/>
              </w:rPr>
              <w:t>1:</w:t>
            </w:r>
            <w:r w:rsidRPr="001763AE">
              <w:rPr>
                <w:color w:val="000000" w:themeColor="text1"/>
                <w:szCs w:val="20"/>
              </w:rPr>
              <w:t xml:space="preserve"> A critical number of PA finance professionals (Minimum 36 staff, 3 from each PA including leading and cluster PAs) trained</w:t>
            </w:r>
          </w:p>
        </w:tc>
        <w:tc>
          <w:tcPr>
            <w:tcW w:w="1410" w:type="pct"/>
            <w:vMerge w:val="restart"/>
          </w:tcPr>
          <w:p w:rsidR="00080A03" w:rsidRPr="001763AE" w:rsidRDefault="00080A03" w:rsidP="00F63B05">
            <w:pPr>
              <w:numPr>
                <w:ilvl w:val="0"/>
                <w:numId w:val="21"/>
              </w:numPr>
              <w:spacing w:line="240" w:lineRule="auto"/>
              <w:rPr>
                <w:rFonts w:eastAsia="Times New Roman"/>
                <w:szCs w:val="20"/>
                <w:lang w:eastAsia="en-GB"/>
              </w:rPr>
            </w:pPr>
            <w:r w:rsidRPr="001763AE">
              <w:rPr>
                <w:rFonts w:eastAsia="Times New Roman"/>
                <w:szCs w:val="20"/>
                <w:lang w:eastAsia="en-GB"/>
              </w:rPr>
              <w:t>Number of PA staff trained in effective</w:t>
            </w:r>
            <w:r w:rsidR="00E0280A" w:rsidRPr="001763AE">
              <w:rPr>
                <w:rFonts w:eastAsia="Times New Roman"/>
                <w:szCs w:val="20"/>
                <w:lang w:eastAsia="en-GB"/>
              </w:rPr>
              <w:t xml:space="preserve"> financial management of PAs</w:t>
            </w:r>
            <w:r w:rsidR="00284A10" w:rsidRPr="001763AE">
              <w:rPr>
                <w:rFonts w:eastAsia="Times New Roman"/>
                <w:szCs w:val="20"/>
                <w:lang w:eastAsia="en-GB"/>
              </w:rPr>
              <w:t>.</w:t>
            </w:r>
          </w:p>
          <w:p w:rsidR="00080A03" w:rsidRPr="001763AE" w:rsidRDefault="00B40E8B" w:rsidP="00F63B05">
            <w:pPr>
              <w:numPr>
                <w:ilvl w:val="0"/>
                <w:numId w:val="21"/>
              </w:numPr>
              <w:spacing w:line="240" w:lineRule="auto"/>
              <w:rPr>
                <w:rFonts w:eastAsia="Times New Roman"/>
                <w:szCs w:val="20"/>
                <w:lang w:eastAsia="en-GB"/>
              </w:rPr>
            </w:pPr>
            <w:r w:rsidRPr="001763AE">
              <w:rPr>
                <w:rFonts w:eastAsia="Times New Roman"/>
                <w:szCs w:val="20"/>
                <w:lang w:eastAsia="en-GB"/>
              </w:rPr>
              <w:t>Number of ‘</w:t>
            </w:r>
            <w:r w:rsidR="00080A03" w:rsidRPr="001763AE">
              <w:rPr>
                <w:rFonts w:eastAsia="Times New Roman"/>
                <w:szCs w:val="20"/>
                <w:lang w:eastAsia="en-GB"/>
              </w:rPr>
              <w:t>Champion</w:t>
            </w:r>
            <w:r w:rsidRPr="001763AE">
              <w:rPr>
                <w:rFonts w:eastAsia="Times New Roman"/>
                <w:szCs w:val="20"/>
                <w:lang w:eastAsia="en-GB"/>
              </w:rPr>
              <w:t xml:space="preserve"> PA Finance Leaders’</w:t>
            </w:r>
            <w:r w:rsidR="00080A03" w:rsidRPr="001763AE">
              <w:rPr>
                <w:rFonts w:eastAsia="Times New Roman"/>
                <w:szCs w:val="20"/>
                <w:lang w:eastAsia="en-GB"/>
              </w:rPr>
              <w:t xml:space="preserve"> graduated</w:t>
            </w:r>
            <w:r w:rsidR="00284A10" w:rsidRPr="001763AE">
              <w:rPr>
                <w:rFonts w:eastAsia="Times New Roman"/>
                <w:szCs w:val="20"/>
                <w:lang w:eastAsia="en-GB"/>
              </w:rPr>
              <w:t>.</w:t>
            </w:r>
          </w:p>
          <w:p w:rsidR="00080A03" w:rsidRPr="001763AE" w:rsidRDefault="00080A03" w:rsidP="00F63B05">
            <w:pPr>
              <w:numPr>
                <w:ilvl w:val="0"/>
                <w:numId w:val="21"/>
              </w:numPr>
              <w:spacing w:line="240" w:lineRule="auto"/>
              <w:rPr>
                <w:rFonts w:eastAsia="Times New Roman"/>
                <w:szCs w:val="20"/>
                <w:lang w:eastAsia="en-GB"/>
              </w:rPr>
            </w:pPr>
            <w:r w:rsidRPr="001763AE">
              <w:rPr>
                <w:rFonts w:eastAsia="Times New Roman"/>
                <w:szCs w:val="20"/>
                <w:lang w:eastAsia="en-GB"/>
              </w:rPr>
              <w:t>A Carpathian’s Association of PA Managers</w:t>
            </w:r>
            <w:r w:rsidR="00284A10" w:rsidRPr="001763AE">
              <w:rPr>
                <w:rFonts w:eastAsia="Times New Roman"/>
                <w:szCs w:val="20"/>
                <w:lang w:eastAsia="en-GB"/>
              </w:rPr>
              <w:t>.</w:t>
            </w:r>
          </w:p>
          <w:p w:rsidR="00080A03" w:rsidRPr="001763AE" w:rsidRDefault="00080A03" w:rsidP="00F63B05">
            <w:pPr>
              <w:numPr>
                <w:ilvl w:val="0"/>
                <w:numId w:val="21"/>
              </w:numPr>
              <w:spacing w:line="240" w:lineRule="auto"/>
              <w:rPr>
                <w:rFonts w:eastAsia="Times New Roman"/>
                <w:szCs w:val="20"/>
                <w:lang w:eastAsia="en-GB"/>
              </w:rPr>
            </w:pPr>
            <w:r w:rsidRPr="001763AE">
              <w:rPr>
                <w:rFonts w:eastAsia="Times New Roman"/>
                <w:szCs w:val="20"/>
                <w:lang w:eastAsia="en-GB"/>
              </w:rPr>
              <w:lastRenderedPageBreak/>
              <w:t>PAs conservation targets linked to programmes and activities through a</w:t>
            </w:r>
            <w:r w:rsidR="0025256D">
              <w:rPr>
                <w:rFonts w:eastAsia="Times New Roman"/>
                <w:szCs w:val="20"/>
                <w:lang w:eastAsia="en-GB"/>
              </w:rPr>
              <w:t xml:space="preserve"> </w:t>
            </w:r>
            <w:r w:rsidRPr="001763AE">
              <w:rPr>
                <w:rFonts w:eastAsia="Times New Roman"/>
                <w:szCs w:val="20"/>
                <w:lang w:eastAsia="en-GB"/>
              </w:rPr>
              <w:t xml:space="preserve">functioning financial management </w:t>
            </w:r>
            <w:r w:rsidR="00BE4C65" w:rsidRPr="001763AE">
              <w:rPr>
                <w:rFonts w:eastAsia="Times New Roman"/>
                <w:szCs w:val="20"/>
                <w:lang w:eastAsia="en-GB"/>
              </w:rPr>
              <w:t>system.</w:t>
            </w:r>
          </w:p>
          <w:p w:rsidR="00427F20" w:rsidRPr="001763AE" w:rsidRDefault="00080A03" w:rsidP="00F63B05">
            <w:pPr>
              <w:numPr>
                <w:ilvl w:val="0"/>
                <w:numId w:val="21"/>
              </w:numPr>
              <w:spacing w:line="240" w:lineRule="auto"/>
              <w:rPr>
                <w:rFonts w:eastAsia="Times New Roman"/>
                <w:szCs w:val="20"/>
                <w:lang w:eastAsia="en-GB"/>
              </w:rPr>
            </w:pPr>
            <w:r w:rsidRPr="001763AE">
              <w:rPr>
                <w:rFonts w:eastAsia="Times New Roman"/>
                <w:szCs w:val="20"/>
                <w:lang w:eastAsia="en-GB"/>
              </w:rPr>
              <w:t>Metrics link conservation goals with costs</w:t>
            </w:r>
            <w:r w:rsidR="00427F20" w:rsidRPr="001763AE">
              <w:rPr>
                <w:rFonts w:eastAsia="Times New Roman"/>
                <w:szCs w:val="20"/>
                <w:lang w:eastAsia="en-GB"/>
              </w:rPr>
              <w:t>.</w:t>
            </w:r>
          </w:p>
          <w:p w:rsidR="00080A03" w:rsidRPr="001763AE" w:rsidRDefault="00080A03" w:rsidP="00F63B05">
            <w:pPr>
              <w:numPr>
                <w:ilvl w:val="0"/>
                <w:numId w:val="21"/>
              </w:numPr>
              <w:spacing w:line="240" w:lineRule="auto"/>
              <w:rPr>
                <w:rFonts w:eastAsia="Times New Roman"/>
                <w:szCs w:val="20"/>
                <w:lang w:eastAsia="en-GB"/>
              </w:rPr>
            </w:pPr>
            <w:r w:rsidRPr="001763AE">
              <w:rPr>
                <w:rFonts w:eastAsia="Times New Roman"/>
                <w:szCs w:val="20"/>
                <w:lang w:eastAsia="en-GB"/>
              </w:rPr>
              <w:t>Traceable expenses, costs, needs and gaps by program</w:t>
            </w:r>
          </w:p>
          <w:p w:rsidR="00080A03" w:rsidRPr="001763AE" w:rsidRDefault="00204F3C" w:rsidP="00294C8C">
            <w:pPr>
              <w:spacing w:line="240" w:lineRule="auto"/>
              <w:ind w:left="360"/>
              <w:rPr>
                <w:rFonts w:eastAsia="Times New Roman"/>
                <w:szCs w:val="20"/>
                <w:lang w:eastAsia="en-GB"/>
              </w:rPr>
            </w:pPr>
            <w:r w:rsidRPr="001763AE">
              <w:rPr>
                <w:rFonts w:eastAsia="Times New Roman"/>
                <w:szCs w:val="20"/>
                <w:lang w:eastAsia="en-GB"/>
              </w:rPr>
              <w:t xml:space="preserve">(Removed at inception) </w:t>
            </w:r>
            <w:r w:rsidR="00080A03" w:rsidRPr="001763AE">
              <w:rPr>
                <w:rFonts w:eastAsia="Times New Roman"/>
                <w:szCs w:val="20"/>
                <w:lang w:eastAsia="en-GB"/>
              </w:rPr>
              <w:t>A PSA Management Committee</w:t>
            </w:r>
            <w:r w:rsidR="00284A10" w:rsidRPr="001763AE">
              <w:rPr>
                <w:rFonts w:eastAsia="Times New Roman"/>
                <w:szCs w:val="20"/>
                <w:lang w:eastAsia="en-GB"/>
              </w:rPr>
              <w:t xml:space="preserve"> established.</w:t>
            </w:r>
          </w:p>
          <w:p w:rsidR="00080A03" w:rsidRPr="001763AE" w:rsidRDefault="00294C8C" w:rsidP="00F63B05">
            <w:pPr>
              <w:numPr>
                <w:ilvl w:val="0"/>
                <w:numId w:val="21"/>
              </w:numPr>
              <w:spacing w:line="240" w:lineRule="auto"/>
              <w:rPr>
                <w:rFonts w:eastAsia="Times New Roman"/>
                <w:szCs w:val="20"/>
                <w:lang w:eastAsia="en-GB"/>
              </w:rPr>
            </w:pPr>
            <w:r w:rsidRPr="001763AE">
              <w:rPr>
                <w:rFonts w:eastAsia="Times New Roman"/>
                <w:szCs w:val="20"/>
                <w:lang w:eastAsia="en-GB"/>
              </w:rPr>
              <w:t>(Added at inception) At least four workshops organized across the Carpathian region to share experience.</w:t>
            </w:r>
          </w:p>
          <w:p w:rsidR="002A3CBC" w:rsidRPr="001763AE" w:rsidRDefault="00294C8C" w:rsidP="00E724C7">
            <w:pPr>
              <w:spacing w:line="240" w:lineRule="auto"/>
              <w:ind w:left="360"/>
              <w:rPr>
                <w:rFonts w:eastAsia="Times New Roman"/>
                <w:szCs w:val="20"/>
                <w:lang w:eastAsia="en-GB"/>
              </w:rPr>
            </w:pPr>
            <w:r w:rsidRPr="001763AE">
              <w:rPr>
                <w:rFonts w:eastAsia="Times New Roman"/>
                <w:szCs w:val="20"/>
                <w:lang w:eastAsia="en-GB"/>
              </w:rPr>
              <w:t xml:space="preserve">(Removed at inception) </w:t>
            </w:r>
            <w:r w:rsidR="00080A03" w:rsidRPr="001763AE">
              <w:rPr>
                <w:rFonts w:eastAsia="Times New Roman"/>
                <w:szCs w:val="20"/>
                <w:lang w:eastAsia="en-GB"/>
              </w:rPr>
              <w:t>Experience from lessons learned is periodically feed into yearly planning</w:t>
            </w:r>
            <w:r w:rsidR="00284A10" w:rsidRPr="001763AE">
              <w:rPr>
                <w:rFonts w:eastAsia="Times New Roman"/>
                <w:szCs w:val="20"/>
                <w:lang w:eastAsia="en-GB"/>
              </w:rPr>
              <w:t>.</w:t>
            </w:r>
          </w:p>
        </w:tc>
      </w:tr>
      <w:tr w:rsidR="002A3CBC" w:rsidRPr="001763AE" w:rsidTr="00294C8C">
        <w:trPr>
          <w:trHeight w:val="20"/>
        </w:trPr>
        <w:tc>
          <w:tcPr>
            <w:tcW w:w="1116" w:type="pct"/>
          </w:tcPr>
          <w:p w:rsidR="002A3CBC" w:rsidRPr="001763AE" w:rsidRDefault="002A3CBC" w:rsidP="00F63B05">
            <w:pPr>
              <w:pStyle w:val="ListBullet2"/>
              <w:tabs>
                <w:tab w:val="clear" w:pos="1080"/>
              </w:tabs>
              <w:spacing w:before="0" w:after="0" w:line="240" w:lineRule="auto"/>
              <w:ind w:left="0"/>
              <w:jc w:val="left"/>
              <w:rPr>
                <w:b/>
                <w:i/>
                <w:szCs w:val="20"/>
              </w:rPr>
            </w:pPr>
          </w:p>
        </w:tc>
        <w:tc>
          <w:tcPr>
            <w:tcW w:w="1201" w:type="pct"/>
          </w:tcPr>
          <w:p w:rsidR="002A3CBC" w:rsidRPr="001763AE" w:rsidRDefault="002A3CBC" w:rsidP="00284A10">
            <w:pPr>
              <w:tabs>
                <w:tab w:val="left" w:pos="450"/>
              </w:tabs>
              <w:spacing w:line="240" w:lineRule="auto"/>
              <w:rPr>
                <w:szCs w:val="20"/>
              </w:rPr>
            </w:pPr>
            <w:r w:rsidRPr="001763AE">
              <w:rPr>
                <w:b/>
                <w:szCs w:val="20"/>
              </w:rPr>
              <w:t>Output 2</w:t>
            </w:r>
            <w:r w:rsidR="00284A10" w:rsidRPr="001763AE">
              <w:rPr>
                <w:b/>
                <w:szCs w:val="20"/>
              </w:rPr>
              <w:t>.</w:t>
            </w:r>
            <w:r w:rsidRPr="001763AE">
              <w:rPr>
                <w:b/>
                <w:szCs w:val="20"/>
              </w:rPr>
              <w:t>2:</w:t>
            </w:r>
            <w:r w:rsidRPr="001763AE">
              <w:rPr>
                <w:szCs w:val="20"/>
              </w:rPr>
              <w:t xml:space="preserve"> A Carpathian National Association of Protected Area</w:t>
            </w:r>
            <w:r w:rsidR="0025256D">
              <w:rPr>
                <w:szCs w:val="20"/>
              </w:rPr>
              <w:t xml:space="preserve"> </w:t>
            </w:r>
            <w:r w:rsidRPr="001763AE">
              <w:rPr>
                <w:szCs w:val="20"/>
              </w:rPr>
              <w:t>managers</w:t>
            </w:r>
            <w:r w:rsidR="0025256D">
              <w:rPr>
                <w:szCs w:val="20"/>
              </w:rPr>
              <w:t xml:space="preserve"> </w:t>
            </w:r>
            <w:r w:rsidR="00940762" w:rsidRPr="001763AE">
              <w:rPr>
                <w:szCs w:val="20"/>
              </w:rPr>
              <w:t>established</w:t>
            </w:r>
          </w:p>
        </w:tc>
        <w:tc>
          <w:tcPr>
            <w:tcW w:w="1274" w:type="pct"/>
          </w:tcPr>
          <w:p w:rsidR="002A3CBC" w:rsidRPr="001763AE" w:rsidRDefault="002A3CBC" w:rsidP="00284A10">
            <w:pPr>
              <w:tabs>
                <w:tab w:val="left" w:pos="878"/>
              </w:tabs>
              <w:spacing w:line="240" w:lineRule="auto"/>
              <w:rPr>
                <w:color w:val="000000" w:themeColor="text1"/>
                <w:szCs w:val="20"/>
              </w:rPr>
            </w:pPr>
            <w:r w:rsidRPr="001763AE">
              <w:rPr>
                <w:b/>
                <w:color w:val="000000" w:themeColor="text1"/>
                <w:szCs w:val="20"/>
              </w:rPr>
              <w:t>Output 2</w:t>
            </w:r>
            <w:r w:rsidR="00284A10" w:rsidRPr="001763AE">
              <w:rPr>
                <w:b/>
                <w:color w:val="000000" w:themeColor="text1"/>
                <w:szCs w:val="20"/>
              </w:rPr>
              <w:t>.</w:t>
            </w:r>
            <w:r w:rsidRPr="001763AE">
              <w:rPr>
                <w:b/>
                <w:color w:val="000000" w:themeColor="text1"/>
                <w:szCs w:val="20"/>
              </w:rPr>
              <w:t>2:</w:t>
            </w:r>
            <w:r w:rsidR="005645D2" w:rsidRPr="001763AE">
              <w:rPr>
                <w:b/>
                <w:color w:val="000000" w:themeColor="text1"/>
                <w:szCs w:val="20"/>
              </w:rPr>
              <w:t xml:space="preserve"> </w:t>
            </w:r>
            <w:r w:rsidRPr="001763AE">
              <w:rPr>
                <w:color w:val="000000" w:themeColor="text1"/>
                <w:szCs w:val="20"/>
              </w:rPr>
              <w:t>A National Association of the Legal Entities Administrating the</w:t>
            </w:r>
          </w:p>
          <w:p w:rsidR="002A3CBC" w:rsidRPr="001763AE" w:rsidRDefault="002A3CBC" w:rsidP="00284A10">
            <w:pPr>
              <w:tabs>
                <w:tab w:val="left" w:pos="993"/>
              </w:tabs>
              <w:spacing w:line="240" w:lineRule="auto"/>
              <w:ind w:left="993" w:hanging="993"/>
              <w:rPr>
                <w:i/>
                <w:color w:val="000000" w:themeColor="text1"/>
                <w:szCs w:val="20"/>
              </w:rPr>
            </w:pPr>
            <w:r w:rsidRPr="001763AE">
              <w:rPr>
                <w:color w:val="000000" w:themeColor="text1"/>
                <w:szCs w:val="20"/>
              </w:rPr>
              <w:t xml:space="preserve">Protected Areas established: </w:t>
            </w:r>
          </w:p>
        </w:tc>
        <w:tc>
          <w:tcPr>
            <w:tcW w:w="1410" w:type="pct"/>
            <w:vMerge/>
          </w:tcPr>
          <w:p w:rsidR="002A3CBC" w:rsidRPr="001763AE" w:rsidRDefault="002A3CBC" w:rsidP="00F63B05">
            <w:pPr>
              <w:pStyle w:val="ListBullet2"/>
              <w:tabs>
                <w:tab w:val="clear" w:pos="1080"/>
              </w:tabs>
              <w:spacing w:before="0" w:after="0" w:line="240" w:lineRule="auto"/>
              <w:ind w:left="0"/>
              <w:jc w:val="center"/>
              <w:rPr>
                <w:szCs w:val="20"/>
              </w:rPr>
            </w:pPr>
          </w:p>
        </w:tc>
      </w:tr>
      <w:tr w:rsidR="003F7D9D" w:rsidRPr="001763AE" w:rsidTr="00294C8C">
        <w:trPr>
          <w:trHeight w:val="20"/>
        </w:trPr>
        <w:tc>
          <w:tcPr>
            <w:tcW w:w="1116" w:type="pct"/>
          </w:tcPr>
          <w:p w:rsidR="003F7D9D" w:rsidRPr="001763AE" w:rsidRDefault="003F7D9D" w:rsidP="00F63B05">
            <w:pPr>
              <w:pStyle w:val="ListBullet2"/>
              <w:tabs>
                <w:tab w:val="clear" w:pos="1080"/>
              </w:tabs>
              <w:spacing w:before="0" w:after="0" w:line="240" w:lineRule="auto"/>
              <w:ind w:left="0"/>
              <w:jc w:val="left"/>
              <w:rPr>
                <w:b/>
                <w:i/>
                <w:szCs w:val="20"/>
              </w:rPr>
            </w:pPr>
          </w:p>
        </w:tc>
        <w:tc>
          <w:tcPr>
            <w:tcW w:w="2475" w:type="pct"/>
            <w:gridSpan w:val="2"/>
          </w:tcPr>
          <w:p w:rsidR="003F7D9D" w:rsidRPr="001763AE" w:rsidRDefault="003F7D9D" w:rsidP="00284A10">
            <w:pPr>
              <w:spacing w:line="240" w:lineRule="auto"/>
              <w:rPr>
                <w:b/>
                <w:color w:val="000000" w:themeColor="text1"/>
                <w:szCs w:val="20"/>
              </w:rPr>
            </w:pPr>
            <w:r w:rsidRPr="001763AE">
              <w:rPr>
                <w:b/>
                <w:szCs w:val="20"/>
              </w:rPr>
              <w:t>Output 2</w:t>
            </w:r>
            <w:r w:rsidR="00284A10" w:rsidRPr="001763AE">
              <w:rPr>
                <w:b/>
                <w:szCs w:val="20"/>
              </w:rPr>
              <w:t>.</w:t>
            </w:r>
            <w:r w:rsidRPr="001763AE">
              <w:rPr>
                <w:b/>
                <w:szCs w:val="20"/>
              </w:rPr>
              <w:t>3:</w:t>
            </w:r>
            <w:r w:rsidRPr="001763AE">
              <w:rPr>
                <w:szCs w:val="20"/>
              </w:rPr>
              <w:t xml:space="preserve"> Improved information management linking PA management plans (programs and activities) with financial management and accounting system</w:t>
            </w:r>
            <w:r w:rsidR="0025256D">
              <w:rPr>
                <w:i/>
                <w:szCs w:val="20"/>
              </w:rPr>
              <w:t xml:space="preserve"> </w:t>
            </w:r>
          </w:p>
        </w:tc>
        <w:tc>
          <w:tcPr>
            <w:tcW w:w="1410" w:type="pct"/>
            <w:vMerge/>
          </w:tcPr>
          <w:p w:rsidR="003F7D9D" w:rsidRPr="001763AE" w:rsidRDefault="003F7D9D" w:rsidP="00F63B05">
            <w:pPr>
              <w:pStyle w:val="ListBullet2"/>
              <w:tabs>
                <w:tab w:val="clear" w:pos="1080"/>
              </w:tabs>
              <w:spacing w:before="0" w:after="0" w:line="240" w:lineRule="auto"/>
              <w:ind w:left="0"/>
              <w:jc w:val="center"/>
              <w:rPr>
                <w:szCs w:val="20"/>
              </w:rPr>
            </w:pPr>
          </w:p>
        </w:tc>
      </w:tr>
      <w:tr w:rsidR="002A3CBC" w:rsidRPr="001763AE" w:rsidTr="00294C8C">
        <w:trPr>
          <w:trHeight w:val="20"/>
        </w:trPr>
        <w:tc>
          <w:tcPr>
            <w:tcW w:w="1116" w:type="pct"/>
          </w:tcPr>
          <w:p w:rsidR="002A3CBC" w:rsidRPr="001763AE" w:rsidRDefault="002A3CBC" w:rsidP="00F63B05">
            <w:pPr>
              <w:pStyle w:val="ListBullet2"/>
              <w:tabs>
                <w:tab w:val="clear" w:pos="1080"/>
              </w:tabs>
              <w:spacing w:before="0" w:after="0" w:line="240" w:lineRule="auto"/>
              <w:ind w:left="0"/>
              <w:jc w:val="left"/>
              <w:rPr>
                <w:b/>
                <w:i/>
                <w:szCs w:val="20"/>
              </w:rPr>
            </w:pPr>
          </w:p>
        </w:tc>
        <w:tc>
          <w:tcPr>
            <w:tcW w:w="1201" w:type="pct"/>
          </w:tcPr>
          <w:p w:rsidR="002A3CBC" w:rsidRPr="001763AE" w:rsidRDefault="002A3CBC" w:rsidP="00284A10">
            <w:pPr>
              <w:spacing w:line="240" w:lineRule="auto"/>
              <w:rPr>
                <w:szCs w:val="20"/>
              </w:rPr>
            </w:pPr>
            <w:r w:rsidRPr="001763AE">
              <w:rPr>
                <w:b/>
                <w:szCs w:val="20"/>
              </w:rPr>
              <w:t>Output 2</w:t>
            </w:r>
            <w:r w:rsidR="00284A10" w:rsidRPr="001763AE">
              <w:rPr>
                <w:b/>
                <w:szCs w:val="20"/>
              </w:rPr>
              <w:t>.</w:t>
            </w:r>
            <w:r w:rsidRPr="001763AE">
              <w:rPr>
                <w:b/>
                <w:szCs w:val="20"/>
              </w:rPr>
              <w:t>4:</w:t>
            </w:r>
            <w:r w:rsidRPr="001763AE">
              <w:rPr>
                <w:szCs w:val="20"/>
              </w:rPr>
              <w:t xml:space="preserve"> A public PA management committee strengthened and with new mandate to monitor revenue and expenditure of PAs</w:t>
            </w:r>
          </w:p>
        </w:tc>
        <w:tc>
          <w:tcPr>
            <w:tcW w:w="1274" w:type="pct"/>
          </w:tcPr>
          <w:p w:rsidR="002A3CBC" w:rsidRPr="001763AE" w:rsidRDefault="002A3CBC" w:rsidP="00284A10">
            <w:pPr>
              <w:spacing w:line="240" w:lineRule="auto"/>
              <w:rPr>
                <w:b/>
                <w:color w:val="000000" w:themeColor="text1"/>
                <w:szCs w:val="20"/>
              </w:rPr>
            </w:pPr>
            <w:r w:rsidRPr="001763AE">
              <w:rPr>
                <w:b/>
                <w:color w:val="000000" w:themeColor="text1"/>
                <w:szCs w:val="20"/>
              </w:rPr>
              <w:t>Removed</w:t>
            </w:r>
            <w:r w:rsidR="006F757F" w:rsidRPr="001763AE">
              <w:rPr>
                <w:b/>
                <w:color w:val="000000" w:themeColor="text1"/>
                <w:szCs w:val="20"/>
              </w:rPr>
              <w:t xml:space="preserve"> following the inception workshop</w:t>
            </w:r>
          </w:p>
        </w:tc>
        <w:tc>
          <w:tcPr>
            <w:tcW w:w="1410" w:type="pct"/>
            <w:vMerge/>
          </w:tcPr>
          <w:p w:rsidR="002A3CBC" w:rsidRPr="001763AE" w:rsidRDefault="002A3CBC" w:rsidP="00F63B05">
            <w:pPr>
              <w:pStyle w:val="ListBullet2"/>
              <w:tabs>
                <w:tab w:val="clear" w:pos="1080"/>
              </w:tabs>
              <w:spacing w:before="0" w:after="0" w:line="240" w:lineRule="auto"/>
              <w:ind w:left="0"/>
              <w:jc w:val="center"/>
              <w:rPr>
                <w:szCs w:val="20"/>
              </w:rPr>
            </w:pPr>
          </w:p>
        </w:tc>
      </w:tr>
      <w:tr w:rsidR="00294C8C" w:rsidRPr="001763AE" w:rsidTr="00294C8C">
        <w:trPr>
          <w:trHeight w:val="20"/>
        </w:trPr>
        <w:tc>
          <w:tcPr>
            <w:tcW w:w="1116" w:type="pct"/>
          </w:tcPr>
          <w:p w:rsidR="00294C8C" w:rsidRPr="001763AE" w:rsidRDefault="00294C8C" w:rsidP="00F63B05">
            <w:pPr>
              <w:pStyle w:val="ListBullet2"/>
              <w:tabs>
                <w:tab w:val="clear" w:pos="1080"/>
              </w:tabs>
              <w:spacing w:before="0" w:after="0" w:line="240" w:lineRule="auto"/>
              <w:ind w:left="0"/>
              <w:jc w:val="left"/>
              <w:rPr>
                <w:b/>
                <w:i/>
                <w:szCs w:val="20"/>
              </w:rPr>
            </w:pPr>
          </w:p>
        </w:tc>
        <w:tc>
          <w:tcPr>
            <w:tcW w:w="1200" w:type="pct"/>
          </w:tcPr>
          <w:p w:rsidR="00294C8C" w:rsidRPr="001763AE" w:rsidRDefault="00294C8C" w:rsidP="00284A10">
            <w:pPr>
              <w:spacing w:line="240" w:lineRule="auto"/>
              <w:rPr>
                <w:color w:val="000000" w:themeColor="text1"/>
                <w:szCs w:val="20"/>
              </w:rPr>
            </w:pPr>
            <w:r w:rsidRPr="001763AE">
              <w:rPr>
                <w:b/>
                <w:color w:val="000000" w:themeColor="text1"/>
                <w:szCs w:val="20"/>
              </w:rPr>
              <w:t xml:space="preserve">Output 2.5 </w:t>
            </w:r>
            <w:r w:rsidRPr="001763AE">
              <w:rPr>
                <w:color w:val="000000" w:themeColor="text1"/>
                <w:szCs w:val="20"/>
              </w:rPr>
              <w:t>Experience from lessons learned is periodically fed into yearly planning.</w:t>
            </w:r>
          </w:p>
        </w:tc>
        <w:tc>
          <w:tcPr>
            <w:tcW w:w="1274" w:type="pct"/>
          </w:tcPr>
          <w:p w:rsidR="00294C8C" w:rsidRPr="001763AE" w:rsidRDefault="00294C8C" w:rsidP="00284A10">
            <w:pPr>
              <w:spacing w:line="240" w:lineRule="auto"/>
              <w:rPr>
                <w:b/>
                <w:color w:val="000000" w:themeColor="text1"/>
                <w:szCs w:val="20"/>
              </w:rPr>
            </w:pPr>
            <w:r w:rsidRPr="001763AE">
              <w:rPr>
                <w:b/>
                <w:szCs w:val="20"/>
              </w:rPr>
              <w:t>Output 2.5:</w:t>
            </w:r>
            <w:r w:rsidRPr="001763AE">
              <w:rPr>
                <w:szCs w:val="20"/>
              </w:rPr>
              <w:t xml:space="preserve"> Lessons and knowledge documented and transferred to key actors representing PAs from other Carpathian countries</w:t>
            </w:r>
          </w:p>
        </w:tc>
        <w:tc>
          <w:tcPr>
            <w:tcW w:w="1410" w:type="pct"/>
            <w:vMerge/>
          </w:tcPr>
          <w:p w:rsidR="00294C8C" w:rsidRPr="001763AE" w:rsidRDefault="00294C8C" w:rsidP="00F63B05">
            <w:pPr>
              <w:pStyle w:val="ListBullet2"/>
              <w:tabs>
                <w:tab w:val="clear" w:pos="1080"/>
              </w:tabs>
              <w:spacing w:before="0" w:after="0" w:line="240" w:lineRule="auto"/>
              <w:ind w:left="0"/>
              <w:jc w:val="center"/>
              <w:rPr>
                <w:szCs w:val="20"/>
              </w:rPr>
            </w:pPr>
          </w:p>
        </w:tc>
      </w:tr>
    </w:tbl>
    <w:p w:rsidR="00FA0BED" w:rsidRPr="001763AE" w:rsidRDefault="00FA0BED" w:rsidP="00FA0BED">
      <w:pPr>
        <w:pStyle w:val="NumberedPara"/>
        <w:numPr>
          <w:ilvl w:val="0"/>
          <w:numId w:val="0"/>
        </w:numPr>
      </w:pPr>
    </w:p>
    <w:p w:rsidR="00B33D20" w:rsidRPr="001763AE" w:rsidRDefault="00D04502" w:rsidP="00C03E9F">
      <w:pPr>
        <w:pStyle w:val="Heading4"/>
      </w:pPr>
      <w:r w:rsidRPr="001763AE">
        <w:t xml:space="preserve">Financial </w:t>
      </w:r>
      <w:r w:rsidR="00C03E9F" w:rsidRPr="001763AE">
        <w:t>Summary</w:t>
      </w:r>
    </w:p>
    <w:p w:rsidR="00B33D20" w:rsidRPr="001763AE" w:rsidRDefault="00217E75" w:rsidP="00235F76">
      <w:pPr>
        <w:pStyle w:val="NumberedPara"/>
        <w:numPr>
          <w:ilvl w:val="0"/>
          <w:numId w:val="0"/>
        </w:numPr>
        <w:jc w:val="left"/>
        <w:sectPr w:rsidR="00B33D20" w:rsidRPr="001763AE" w:rsidSect="00CF2BBB">
          <w:footerReference w:type="default" r:id="rId9"/>
          <w:pgSz w:w="11907" w:h="16839" w:code="9"/>
          <w:pgMar w:top="720" w:right="927" w:bottom="1260" w:left="1170" w:header="708" w:footer="708" w:gutter="0"/>
          <w:cols w:space="708"/>
          <w:titlePg/>
          <w:docGrid w:linePitch="360"/>
        </w:sectPr>
      </w:pPr>
      <w:r w:rsidRPr="001763AE">
        <w:fldChar w:fldCharType="begin"/>
      </w:r>
      <w:r w:rsidR="00437AE2" w:rsidRPr="001763AE">
        <w:instrText xml:space="preserve"> REF _Ref391815608 \h </w:instrText>
      </w:r>
      <w:r w:rsidRPr="001763AE">
        <w:fldChar w:fldCharType="separate"/>
      </w:r>
      <w:r w:rsidR="00D406FE" w:rsidRPr="001763AE">
        <w:t xml:space="preserve">Table </w:t>
      </w:r>
      <w:r w:rsidR="00D406FE">
        <w:rPr>
          <w:noProof/>
        </w:rPr>
        <w:t>13</w:t>
      </w:r>
      <w:r w:rsidRPr="001763AE">
        <w:fldChar w:fldCharType="end"/>
      </w:r>
      <w:r w:rsidR="00437AE2" w:rsidRPr="001763AE">
        <w:t xml:space="preserve"> shows the predicted and actual expenditure of the project as of mid-May 2014</w:t>
      </w:r>
      <w:r w:rsidR="00427F20" w:rsidRPr="001763AE">
        <w:t xml:space="preserve">. </w:t>
      </w:r>
      <w:r w:rsidR="00437AE2" w:rsidRPr="001763AE">
        <w:t xml:space="preserve">It is expected that by the closure of project accounts all the GEF </w:t>
      </w:r>
      <w:r w:rsidR="006705B8" w:rsidRPr="001763AE">
        <w:t xml:space="preserve">and UNDP </w:t>
      </w:r>
      <w:r w:rsidR="00437AE2" w:rsidRPr="001763AE">
        <w:t>funds will have been disbursed</w:t>
      </w:r>
      <w:r w:rsidR="00427F20" w:rsidRPr="001763AE">
        <w:t xml:space="preserve">. </w:t>
      </w:r>
      <w:r w:rsidR="00437AE2" w:rsidRPr="001763AE">
        <w:t>The table shows a typical slow rate of disbursement in the first year, followed by an acceleration of expenditure</w:t>
      </w:r>
      <w:r w:rsidR="00427F20" w:rsidRPr="001763AE">
        <w:t xml:space="preserve">. </w:t>
      </w:r>
      <w:r w:rsidR="00437AE2" w:rsidRPr="001763AE">
        <w:t>In general</w:t>
      </w:r>
      <w:r w:rsidR="009D3BDC" w:rsidRPr="001763AE">
        <w:t>,</w:t>
      </w:r>
      <w:r w:rsidR="00437AE2" w:rsidRPr="001763AE">
        <w:t xml:space="preserve"> actual expenditure</w:t>
      </w:r>
      <w:r w:rsidR="006E16CE" w:rsidRPr="001763AE">
        <w:t xml:space="preserve"> </w:t>
      </w:r>
      <w:r w:rsidR="00437AE2" w:rsidRPr="001763AE">
        <w:t>is quite close to that predicted</w:t>
      </w:r>
      <w:r w:rsidR="0019122B" w:rsidRPr="001763AE">
        <w:t>; the cal</w:t>
      </w:r>
      <w:r w:rsidR="00437AE2" w:rsidRPr="001763AE">
        <w:t>cu</w:t>
      </w:r>
      <w:r w:rsidR="0019122B" w:rsidRPr="001763AE">
        <w:t>lated</w:t>
      </w:r>
      <w:r w:rsidR="00437AE2" w:rsidRPr="001763AE">
        <w:t xml:space="preserve"> co-financing </w:t>
      </w:r>
      <w:r w:rsidR="0019122B" w:rsidRPr="001763AE">
        <w:t>contributions</w:t>
      </w:r>
      <w:r w:rsidR="00437AE2" w:rsidRPr="001763AE">
        <w:t xml:space="preserve"> of the NFA and of WWF are significantly higher than predicted</w:t>
      </w:r>
      <w:r w:rsidR="00427F20" w:rsidRPr="001763AE">
        <w:t xml:space="preserve">. </w:t>
      </w:r>
    </w:p>
    <w:p w:rsidR="00B33D20" w:rsidRPr="001763AE" w:rsidRDefault="00B33D20" w:rsidP="00B33D20">
      <w:pPr>
        <w:pStyle w:val="Caption"/>
      </w:pPr>
      <w:bookmarkStart w:id="14" w:name="_Ref391815608"/>
      <w:r w:rsidRPr="001763AE">
        <w:lastRenderedPageBreak/>
        <w:t xml:space="preserve">Table </w:t>
      </w:r>
      <w:r w:rsidR="00C072C9">
        <w:fldChar w:fldCharType="begin"/>
      </w:r>
      <w:r w:rsidR="00C072C9">
        <w:instrText xml:space="preserve"> SEQ Table \* ARABIC </w:instrText>
      </w:r>
      <w:r w:rsidR="00C072C9">
        <w:fldChar w:fldCharType="separate"/>
      </w:r>
      <w:r w:rsidR="00D406FE">
        <w:rPr>
          <w:noProof/>
        </w:rPr>
        <w:t>13</w:t>
      </w:r>
      <w:r w:rsidR="00C072C9">
        <w:rPr>
          <w:noProof/>
        </w:rPr>
        <w:fldChar w:fldCharType="end"/>
      </w:r>
      <w:bookmarkEnd w:id="14"/>
      <w:r w:rsidRPr="001763AE">
        <w:t xml:space="preserve"> Summary of predicted and actual project expenditure</w:t>
      </w:r>
      <w:r w:rsidR="00A12516" w:rsidRPr="001763AE">
        <w:t xml:space="preserve"> (rounded to nearest $US)</w:t>
      </w:r>
    </w:p>
    <w:tbl>
      <w:tblPr>
        <w:tblW w:w="5000" w:type="pct"/>
        <w:tblLayout w:type="fixed"/>
        <w:tblLook w:val="04A0" w:firstRow="1" w:lastRow="0" w:firstColumn="1" w:lastColumn="0" w:noHBand="0" w:noVBand="1"/>
      </w:tblPr>
      <w:tblGrid>
        <w:gridCol w:w="1950"/>
        <w:gridCol w:w="991"/>
        <w:gridCol w:w="121"/>
        <w:gridCol w:w="742"/>
        <w:gridCol w:w="1402"/>
        <w:gridCol w:w="1402"/>
        <w:gridCol w:w="1408"/>
        <w:gridCol w:w="1402"/>
        <w:gridCol w:w="1444"/>
        <w:gridCol w:w="1592"/>
        <w:gridCol w:w="1710"/>
        <w:gridCol w:w="911"/>
      </w:tblGrid>
      <w:tr w:rsidR="00451BA9" w:rsidRPr="001763AE" w:rsidTr="0085137F">
        <w:trPr>
          <w:trHeight w:val="20"/>
        </w:trPr>
        <w:tc>
          <w:tcPr>
            <w:tcW w:w="647" w:type="pct"/>
            <w:tcBorders>
              <w:top w:val="single" w:sz="4" w:space="0" w:color="auto"/>
              <w:left w:val="single" w:sz="4" w:space="0" w:color="auto"/>
              <w:bottom w:val="single" w:sz="4" w:space="0" w:color="auto"/>
            </w:tcBorders>
            <w:shd w:val="clear" w:color="auto" w:fill="7F7F7F" w:themeFill="text1" w:themeFillTint="80"/>
            <w:noWrap/>
            <w:vAlign w:val="bottom"/>
            <w:hideMark/>
          </w:tcPr>
          <w:p w:rsidR="00451BA9" w:rsidRPr="001763AE" w:rsidRDefault="00451BA9" w:rsidP="00B33D20">
            <w:pPr>
              <w:spacing w:line="240" w:lineRule="auto"/>
              <w:rPr>
                <w:rFonts w:ascii="Calibri" w:eastAsia="Times New Roman" w:hAnsi="Calibri" w:cs="Times New Roman"/>
                <w:b/>
                <w:bCs/>
                <w:color w:val="FFFFFF" w:themeColor="background1"/>
                <w:lang w:eastAsia="en-GB"/>
              </w:rPr>
            </w:pPr>
            <w:r w:rsidRPr="001763AE">
              <w:rPr>
                <w:rFonts w:ascii="Calibri" w:eastAsia="Times New Roman" w:hAnsi="Calibri" w:cs="Times New Roman"/>
                <w:b/>
                <w:bCs/>
                <w:color w:val="FFFFFF" w:themeColor="background1"/>
                <w:lang w:eastAsia="en-GB"/>
              </w:rPr>
              <w:t>GEF SUPPORT</w:t>
            </w:r>
          </w:p>
        </w:tc>
        <w:tc>
          <w:tcPr>
            <w:tcW w:w="615" w:type="pct"/>
            <w:gridSpan w:val="3"/>
            <w:tcBorders>
              <w:top w:val="single" w:sz="4" w:space="0" w:color="auto"/>
              <w:bottom w:val="single" w:sz="4" w:space="0" w:color="auto"/>
              <w:right w:val="single" w:sz="4" w:space="0" w:color="auto"/>
            </w:tcBorders>
            <w:shd w:val="clear" w:color="auto" w:fill="7F7F7F" w:themeFill="text1" w:themeFillTint="80"/>
            <w:noWrap/>
            <w:vAlign w:val="bottom"/>
            <w:hideMark/>
          </w:tcPr>
          <w:p w:rsidR="00451BA9" w:rsidRPr="001763AE" w:rsidRDefault="00451BA9" w:rsidP="00B33D20">
            <w:pPr>
              <w:spacing w:line="240" w:lineRule="auto"/>
              <w:rPr>
                <w:rFonts w:ascii="Calibri" w:eastAsia="Times New Roman" w:hAnsi="Calibri" w:cs="Times New Roman"/>
                <w:b/>
                <w:color w:val="FFFFFF" w:themeColor="background1"/>
                <w:lang w:eastAsia="en-GB"/>
              </w:rPr>
            </w:pPr>
          </w:p>
        </w:tc>
        <w:tc>
          <w:tcPr>
            <w:tcW w:w="465" w:type="pct"/>
            <w:tcBorders>
              <w:top w:val="single" w:sz="4" w:space="0" w:color="auto"/>
              <w:left w:val="nil"/>
              <w:bottom w:val="nil"/>
              <w:right w:val="single" w:sz="4" w:space="0" w:color="auto"/>
            </w:tcBorders>
            <w:shd w:val="clear" w:color="auto" w:fill="7F7F7F" w:themeFill="text1" w:themeFillTint="80"/>
            <w:noWrap/>
            <w:vAlign w:val="bottom"/>
            <w:hideMark/>
          </w:tcPr>
          <w:p w:rsidR="00451BA9" w:rsidRPr="001763AE" w:rsidRDefault="00451BA9" w:rsidP="00B33D20">
            <w:pPr>
              <w:spacing w:line="240" w:lineRule="auto"/>
              <w:jc w:val="center"/>
              <w:rPr>
                <w:rFonts w:ascii="Calibri" w:eastAsia="Times New Roman" w:hAnsi="Calibri" w:cs="Times New Roman"/>
                <w:b/>
                <w:color w:val="FFFFFF" w:themeColor="background1"/>
                <w:sz w:val="20"/>
                <w:szCs w:val="20"/>
                <w:lang w:eastAsia="en-GB"/>
              </w:rPr>
            </w:pPr>
            <w:r w:rsidRPr="001763AE">
              <w:rPr>
                <w:rFonts w:ascii="Calibri" w:eastAsia="Times New Roman" w:hAnsi="Calibri" w:cs="Times New Roman"/>
                <w:b/>
                <w:color w:val="FFFFFF" w:themeColor="background1"/>
                <w:sz w:val="20"/>
                <w:szCs w:val="20"/>
                <w:lang w:eastAsia="en-GB"/>
              </w:rPr>
              <w:t>2010</w:t>
            </w:r>
          </w:p>
        </w:tc>
        <w:tc>
          <w:tcPr>
            <w:tcW w:w="465" w:type="pct"/>
            <w:tcBorders>
              <w:top w:val="single" w:sz="4" w:space="0" w:color="auto"/>
              <w:left w:val="nil"/>
              <w:bottom w:val="nil"/>
              <w:right w:val="single" w:sz="4" w:space="0" w:color="auto"/>
            </w:tcBorders>
            <w:shd w:val="clear" w:color="auto" w:fill="7F7F7F" w:themeFill="text1" w:themeFillTint="80"/>
            <w:noWrap/>
            <w:vAlign w:val="bottom"/>
            <w:hideMark/>
          </w:tcPr>
          <w:p w:rsidR="00451BA9" w:rsidRPr="001763AE" w:rsidRDefault="00451BA9" w:rsidP="00B33D20">
            <w:pPr>
              <w:spacing w:line="240" w:lineRule="auto"/>
              <w:jc w:val="center"/>
              <w:rPr>
                <w:rFonts w:ascii="Calibri" w:eastAsia="Times New Roman" w:hAnsi="Calibri" w:cs="Times New Roman"/>
                <w:b/>
                <w:color w:val="FFFFFF" w:themeColor="background1"/>
                <w:sz w:val="20"/>
                <w:szCs w:val="20"/>
                <w:lang w:eastAsia="en-GB"/>
              </w:rPr>
            </w:pPr>
            <w:r w:rsidRPr="001763AE">
              <w:rPr>
                <w:rFonts w:ascii="Calibri" w:eastAsia="Times New Roman" w:hAnsi="Calibri" w:cs="Times New Roman"/>
                <w:b/>
                <w:color w:val="FFFFFF" w:themeColor="background1"/>
                <w:sz w:val="20"/>
                <w:szCs w:val="20"/>
                <w:lang w:eastAsia="en-GB"/>
              </w:rPr>
              <w:t>2011</w:t>
            </w:r>
          </w:p>
        </w:tc>
        <w:tc>
          <w:tcPr>
            <w:tcW w:w="467" w:type="pct"/>
            <w:tcBorders>
              <w:top w:val="single" w:sz="4" w:space="0" w:color="auto"/>
              <w:left w:val="nil"/>
              <w:bottom w:val="nil"/>
              <w:right w:val="single" w:sz="4" w:space="0" w:color="auto"/>
            </w:tcBorders>
            <w:shd w:val="clear" w:color="auto" w:fill="7F7F7F" w:themeFill="text1" w:themeFillTint="80"/>
            <w:noWrap/>
            <w:vAlign w:val="bottom"/>
            <w:hideMark/>
          </w:tcPr>
          <w:p w:rsidR="00451BA9" w:rsidRPr="001763AE" w:rsidRDefault="00451BA9" w:rsidP="00B33D20">
            <w:pPr>
              <w:spacing w:line="240" w:lineRule="auto"/>
              <w:jc w:val="center"/>
              <w:rPr>
                <w:rFonts w:ascii="Calibri" w:eastAsia="Times New Roman" w:hAnsi="Calibri" w:cs="Times New Roman"/>
                <w:b/>
                <w:color w:val="FFFFFF" w:themeColor="background1"/>
                <w:sz w:val="20"/>
                <w:szCs w:val="20"/>
                <w:lang w:eastAsia="en-GB"/>
              </w:rPr>
            </w:pPr>
            <w:r w:rsidRPr="001763AE">
              <w:rPr>
                <w:rFonts w:ascii="Calibri" w:eastAsia="Times New Roman" w:hAnsi="Calibri" w:cs="Times New Roman"/>
                <w:b/>
                <w:color w:val="FFFFFF" w:themeColor="background1"/>
                <w:sz w:val="20"/>
                <w:szCs w:val="20"/>
                <w:lang w:eastAsia="en-GB"/>
              </w:rPr>
              <w:t>2012</w:t>
            </w:r>
          </w:p>
        </w:tc>
        <w:tc>
          <w:tcPr>
            <w:tcW w:w="465" w:type="pct"/>
            <w:tcBorders>
              <w:top w:val="single" w:sz="4" w:space="0" w:color="auto"/>
              <w:left w:val="nil"/>
              <w:bottom w:val="nil"/>
              <w:right w:val="single" w:sz="4" w:space="0" w:color="auto"/>
            </w:tcBorders>
            <w:shd w:val="clear" w:color="auto" w:fill="7F7F7F" w:themeFill="text1" w:themeFillTint="80"/>
            <w:noWrap/>
            <w:vAlign w:val="bottom"/>
            <w:hideMark/>
          </w:tcPr>
          <w:p w:rsidR="00451BA9" w:rsidRPr="001763AE" w:rsidRDefault="00451BA9" w:rsidP="00B33D20">
            <w:pPr>
              <w:spacing w:line="240" w:lineRule="auto"/>
              <w:jc w:val="center"/>
              <w:rPr>
                <w:rFonts w:ascii="Calibri" w:eastAsia="Times New Roman" w:hAnsi="Calibri" w:cs="Times New Roman"/>
                <w:b/>
                <w:color w:val="FFFFFF" w:themeColor="background1"/>
                <w:sz w:val="20"/>
                <w:szCs w:val="20"/>
                <w:lang w:eastAsia="en-GB"/>
              </w:rPr>
            </w:pPr>
            <w:r w:rsidRPr="001763AE">
              <w:rPr>
                <w:rFonts w:ascii="Calibri" w:eastAsia="Times New Roman" w:hAnsi="Calibri" w:cs="Times New Roman"/>
                <w:b/>
                <w:color w:val="FFFFFF" w:themeColor="background1"/>
                <w:sz w:val="20"/>
                <w:szCs w:val="20"/>
                <w:lang w:eastAsia="en-GB"/>
              </w:rPr>
              <w:t>2013</w:t>
            </w:r>
          </w:p>
        </w:tc>
        <w:tc>
          <w:tcPr>
            <w:tcW w:w="479" w:type="pct"/>
            <w:tcBorders>
              <w:top w:val="single" w:sz="4" w:space="0" w:color="auto"/>
              <w:left w:val="nil"/>
              <w:bottom w:val="nil"/>
              <w:right w:val="nil"/>
            </w:tcBorders>
            <w:shd w:val="clear" w:color="auto" w:fill="7F7F7F" w:themeFill="text1" w:themeFillTint="80"/>
            <w:noWrap/>
            <w:vAlign w:val="bottom"/>
            <w:hideMark/>
          </w:tcPr>
          <w:p w:rsidR="00451BA9" w:rsidRPr="001763AE" w:rsidRDefault="00451BA9" w:rsidP="00B33D20">
            <w:pPr>
              <w:spacing w:line="240" w:lineRule="auto"/>
              <w:jc w:val="center"/>
              <w:rPr>
                <w:rFonts w:ascii="Calibri" w:eastAsia="Times New Roman" w:hAnsi="Calibri" w:cs="Times New Roman"/>
                <w:b/>
                <w:color w:val="FFFFFF" w:themeColor="background1"/>
                <w:sz w:val="20"/>
                <w:szCs w:val="20"/>
                <w:lang w:eastAsia="en-GB"/>
              </w:rPr>
            </w:pPr>
            <w:r w:rsidRPr="001763AE">
              <w:rPr>
                <w:rFonts w:ascii="Calibri" w:eastAsia="Times New Roman" w:hAnsi="Calibri" w:cs="Times New Roman"/>
                <w:b/>
                <w:color w:val="FFFFFF" w:themeColor="background1"/>
                <w:sz w:val="20"/>
                <w:szCs w:val="20"/>
                <w:lang w:eastAsia="en-GB"/>
              </w:rPr>
              <w:t>2014 up to May</w:t>
            </w:r>
          </w:p>
        </w:tc>
        <w:tc>
          <w:tcPr>
            <w:tcW w:w="528" w:type="pct"/>
            <w:tcBorders>
              <w:top w:val="single" w:sz="4" w:space="0" w:color="auto"/>
              <w:left w:val="single" w:sz="4" w:space="0" w:color="auto"/>
              <w:bottom w:val="nil"/>
              <w:right w:val="single" w:sz="4" w:space="0" w:color="auto"/>
            </w:tcBorders>
            <w:shd w:val="clear" w:color="auto" w:fill="7F7F7F" w:themeFill="text1" w:themeFillTint="80"/>
            <w:noWrap/>
            <w:vAlign w:val="bottom"/>
            <w:hideMark/>
          </w:tcPr>
          <w:p w:rsidR="00451BA9" w:rsidRPr="001763AE" w:rsidRDefault="00451BA9" w:rsidP="002B1EC2">
            <w:pPr>
              <w:spacing w:line="240" w:lineRule="auto"/>
              <w:jc w:val="center"/>
              <w:rPr>
                <w:rFonts w:ascii="Calibri" w:eastAsia="Times New Roman" w:hAnsi="Calibri" w:cs="Times New Roman"/>
                <w:b/>
                <w:bCs/>
                <w:color w:val="FFFFFF" w:themeColor="background1"/>
                <w:sz w:val="20"/>
                <w:szCs w:val="20"/>
                <w:lang w:eastAsia="en-GB"/>
              </w:rPr>
            </w:pPr>
            <w:r w:rsidRPr="001763AE">
              <w:rPr>
                <w:rFonts w:ascii="Calibri" w:eastAsia="Times New Roman" w:hAnsi="Calibri" w:cs="Times New Roman"/>
                <w:b/>
                <w:bCs/>
                <w:color w:val="FFFFFF" w:themeColor="background1"/>
                <w:sz w:val="20"/>
                <w:szCs w:val="20"/>
                <w:lang w:eastAsia="en-GB"/>
              </w:rPr>
              <w:t>Total</w:t>
            </w:r>
            <w:r w:rsidR="0025256D">
              <w:rPr>
                <w:rFonts w:ascii="Calibri" w:eastAsia="Times New Roman" w:hAnsi="Calibri" w:cs="Times New Roman"/>
                <w:b/>
                <w:bCs/>
                <w:color w:val="FFFFFF" w:themeColor="background1"/>
                <w:sz w:val="20"/>
                <w:szCs w:val="20"/>
                <w:lang w:eastAsia="en-GB"/>
              </w:rPr>
              <w:t xml:space="preserve"> </w:t>
            </w:r>
            <w:r w:rsidRPr="001763AE">
              <w:rPr>
                <w:rFonts w:ascii="Calibri" w:eastAsia="Times New Roman" w:hAnsi="Calibri" w:cs="Times New Roman"/>
                <w:b/>
                <w:bCs/>
                <w:color w:val="FFFFFF" w:themeColor="background1"/>
                <w:sz w:val="20"/>
                <w:szCs w:val="20"/>
                <w:lang w:eastAsia="en-GB"/>
              </w:rPr>
              <w:t>(May 2014)</w:t>
            </w:r>
          </w:p>
        </w:tc>
        <w:tc>
          <w:tcPr>
            <w:tcW w:w="567" w:type="pct"/>
            <w:tcBorders>
              <w:top w:val="single" w:sz="4" w:space="0" w:color="auto"/>
              <w:left w:val="nil"/>
              <w:bottom w:val="nil"/>
              <w:right w:val="nil"/>
            </w:tcBorders>
            <w:shd w:val="clear" w:color="auto" w:fill="7F7F7F" w:themeFill="text1" w:themeFillTint="80"/>
          </w:tcPr>
          <w:p w:rsidR="00451BA9" w:rsidRPr="001763AE" w:rsidRDefault="00451BA9" w:rsidP="00750194">
            <w:pPr>
              <w:spacing w:line="240" w:lineRule="auto"/>
              <w:jc w:val="center"/>
              <w:rPr>
                <w:rFonts w:ascii="Calibri" w:eastAsia="Times New Roman" w:hAnsi="Calibri" w:cs="Times New Roman"/>
                <w:b/>
                <w:color w:val="FFFFFF" w:themeColor="background1"/>
                <w:sz w:val="20"/>
                <w:szCs w:val="20"/>
                <w:lang w:eastAsia="en-GB"/>
              </w:rPr>
            </w:pPr>
            <w:r w:rsidRPr="001763AE">
              <w:rPr>
                <w:rFonts w:ascii="Calibri" w:eastAsia="Times New Roman" w:hAnsi="Calibri" w:cs="Times New Roman"/>
                <w:b/>
                <w:color w:val="FFFFFF" w:themeColor="background1"/>
                <w:sz w:val="20"/>
                <w:szCs w:val="20"/>
                <w:lang w:eastAsia="en-GB"/>
              </w:rPr>
              <w:t>Total predicted</w:t>
            </w:r>
            <w:r w:rsidR="0025256D">
              <w:rPr>
                <w:rFonts w:ascii="Calibri" w:eastAsia="Times New Roman" w:hAnsi="Calibri" w:cs="Times New Roman"/>
                <w:b/>
                <w:color w:val="FFFFFF" w:themeColor="background1"/>
                <w:sz w:val="20"/>
                <w:szCs w:val="20"/>
                <w:lang w:eastAsia="en-GB"/>
              </w:rPr>
              <w:t xml:space="preserve"> </w:t>
            </w:r>
            <w:r w:rsidRPr="001763AE">
              <w:rPr>
                <w:rFonts w:ascii="Calibri" w:eastAsia="Times New Roman" w:hAnsi="Calibri" w:cs="Times New Roman"/>
                <w:b/>
                <w:color w:val="FFFFFF" w:themeColor="background1"/>
                <w:sz w:val="20"/>
                <w:szCs w:val="20"/>
                <w:lang w:eastAsia="en-GB"/>
              </w:rPr>
              <w:t>at completion</w:t>
            </w:r>
          </w:p>
        </w:tc>
        <w:tc>
          <w:tcPr>
            <w:tcW w:w="302" w:type="pct"/>
            <w:tcBorders>
              <w:top w:val="single" w:sz="4" w:space="0" w:color="auto"/>
              <w:left w:val="nil"/>
              <w:bottom w:val="nil"/>
              <w:right w:val="single" w:sz="4" w:space="0" w:color="auto"/>
            </w:tcBorders>
            <w:shd w:val="clear" w:color="auto" w:fill="7F7F7F" w:themeFill="text1" w:themeFillTint="80"/>
            <w:noWrap/>
            <w:vAlign w:val="bottom"/>
            <w:hideMark/>
          </w:tcPr>
          <w:p w:rsidR="00451BA9" w:rsidRPr="001763AE" w:rsidRDefault="00451BA9" w:rsidP="00451BA9">
            <w:pPr>
              <w:spacing w:line="240" w:lineRule="auto"/>
              <w:rPr>
                <w:rFonts w:ascii="Calibri" w:eastAsia="Times New Roman" w:hAnsi="Calibri" w:cs="Times New Roman"/>
                <w:b/>
                <w:color w:val="FFFFFF" w:themeColor="background1"/>
                <w:sz w:val="20"/>
                <w:szCs w:val="20"/>
                <w:lang w:eastAsia="en-GB"/>
              </w:rPr>
            </w:pPr>
          </w:p>
        </w:tc>
      </w:tr>
      <w:tr w:rsidR="00451BA9" w:rsidRPr="001763AE" w:rsidTr="0085137F">
        <w:trPr>
          <w:trHeight w:val="20"/>
        </w:trPr>
        <w:tc>
          <w:tcPr>
            <w:tcW w:w="647" w:type="pct"/>
            <w:tcBorders>
              <w:top w:val="single" w:sz="4" w:space="0" w:color="auto"/>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Cs/>
                <w:color w:val="000000"/>
                <w:sz w:val="20"/>
                <w:szCs w:val="20"/>
                <w:lang w:eastAsia="en-GB"/>
              </w:rPr>
            </w:pPr>
            <w:r w:rsidRPr="001763AE">
              <w:rPr>
                <w:rFonts w:ascii="Calibri" w:eastAsia="Times New Roman" w:hAnsi="Calibri" w:cs="Times New Roman"/>
                <w:bCs/>
                <w:color w:val="000000"/>
                <w:sz w:val="20"/>
                <w:szCs w:val="20"/>
                <w:lang w:eastAsia="en-GB"/>
              </w:rPr>
              <w:t>COMPONENT 1</w:t>
            </w:r>
          </w:p>
        </w:tc>
        <w:tc>
          <w:tcPr>
            <w:tcW w:w="615" w:type="pct"/>
            <w:gridSpan w:val="3"/>
            <w:tcBorders>
              <w:top w:val="single" w:sz="4" w:space="0" w:color="auto"/>
              <w:left w:val="nil"/>
              <w:bottom w:val="nil"/>
              <w:right w:val="nil"/>
            </w:tcBorders>
            <w:shd w:val="clear" w:color="000000" w:fill="D9D9D9"/>
            <w:noWrap/>
            <w:vAlign w:val="bottom"/>
            <w:hideMark/>
          </w:tcPr>
          <w:p w:rsidR="00451BA9" w:rsidRPr="001763AE" w:rsidRDefault="001752CF"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Planned</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$128,000</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$135,500</w:t>
            </w:r>
          </w:p>
        </w:tc>
        <w:tc>
          <w:tcPr>
            <w:tcW w:w="467"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$62,000</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$52,000</w:t>
            </w:r>
          </w:p>
        </w:tc>
        <w:tc>
          <w:tcPr>
            <w:tcW w:w="479"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w:t>
            </w:r>
            <w:r w:rsidR="0025256D">
              <w:rPr>
                <w:rFonts w:ascii="Calibri" w:eastAsia="Times New Roman" w:hAnsi="Calibri" w:cs="Times New Roman"/>
                <w:color w:val="000000"/>
                <w:sz w:val="20"/>
                <w:szCs w:val="20"/>
                <w:lang w:eastAsia="en-GB"/>
              </w:rPr>
              <w:t xml:space="preserve"> </w:t>
            </w:r>
            <w:r w:rsidRPr="001763AE">
              <w:rPr>
                <w:rFonts w:ascii="Calibri" w:eastAsia="Times New Roman" w:hAnsi="Calibri" w:cs="Times New Roman"/>
                <w:color w:val="000000"/>
                <w:sz w:val="20"/>
                <w:szCs w:val="20"/>
                <w:lang w:eastAsia="en-GB"/>
              </w:rPr>
              <w:t xml:space="preserve"> </w:t>
            </w:r>
          </w:p>
        </w:tc>
        <w:tc>
          <w:tcPr>
            <w:tcW w:w="528" w:type="pct"/>
            <w:tcBorders>
              <w:top w:val="single" w:sz="4" w:space="0" w:color="auto"/>
              <w:left w:val="nil"/>
              <w:bottom w:val="nil"/>
              <w:right w:val="nil"/>
            </w:tcBorders>
            <w:shd w:val="clear" w:color="000000" w:fill="D9D9D9"/>
            <w:noWrap/>
            <w:vAlign w:val="bottom"/>
            <w:hideMark/>
          </w:tcPr>
          <w:p w:rsidR="00451BA9" w:rsidRPr="00235F76" w:rsidRDefault="00451BA9" w:rsidP="00B33D20">
            <w:pPr>
              <w:spacing w:line="240" w:lineRule="auto"/>
              <w:rPr>
                <w:rFonts w:ascii="Calibri" w:eastAsia="Times New Roman" w:hAnsi="Calibri" w:cs="Times New Roman"/>
                <w:color w:val="000000"/>
                <w:sz w:val="20"/>
                <w:szCs w:val="20"/>
                <w:highlight w:val="yellow"/>
                <w:lang w:eastAsia="en-GB"/>
              </w:rPr>
            </w:pPr>
            <w:r w:rsidRPr="00235F76">
              <w:rPr>
                <w:rFonts w:ascii="Calibri" w:eastAsia="Times New Roman" w:hAnsi="Calibri" w:cs="Times New Roman"/>
                <w:color w:val="000000"/>
                <w:sz w:val="20"/>
                <w:szCs w:val="20"/>
                <w:highlight w:val="yellow"/>
                <w:lang w:eastAsia="en-GB"/>
              </w:rPr>
              <w:t xml:space="preserve"> $377,500</w:t>
            </w:r>
          </w:p>
        </w:tc>
        <w:tc>
          <w:tcPr>
            <w:tcW w:w="567" w:type="pct"/>
            <w:tcBorders>
              <w:top w:val="single" w:sz="4" w:space="0" w:color="auto"/>
              <w:left w:val="nil"/>
              <w:bottom w:val="nil"/>
              <w:right w:val="nil"/>
            </w:tcBorders>
          </w:tcPr>
          <w:p w:rsidR="00451BA9" w:rsidRPr="001763AE" w:rsidRDefault="00451BA9" w:rsidP="00B33D20">
            <w:pPr>
              <w:spacing w:line="240" w:lineRule="auto"/>
              <w:rPr>
                <w:rFonts w:ascii="Calibri" w:eastAsia="Times New Roman" w:hAnsi="Calibri" w:cs="Times New Roman"/>
                <w:color w:val="000000"/>
                <w:sz w:val="20"/>
                <w:szCs w:val="20"/>
                <w:lang w:eastAsia="en-GB"/>
              </w:rPr>
            </w:pPr>
          </w:p>
        </w:tc>
        <w:tc>
          <w:tcPr>
            <w:tcW w:w="302" w:type="pct"/>
            <w:tcBorders>
              <w:top w:val="single" w:sz="4" w:space="0" w:color="auto"/>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451BA9" w:rsidRPr="001763AE" w:rsidTr="0085137F">
        <w:trPr>
          <w:trHeight w:val="20"/>
        </w:trPr>
        <w:tc>
          <w:tcPr>
            <w:tcW w:w="647" w:type="pct"/>
            <w:tcBorders>
              <w:top w:val="nil"/>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c>
          <w:tcPr>
            <w:tcW w:w="615" w:type="pct"/>
            <w:gridSpan w:val="3"/>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Actual</w:t>
            </w:r>
          </w:p>
        </w:tc>
        <w:tc>
          <w:tcPr>
            <w:tcW w:w="465" w:type="pct"/>
            <w:tcBorders>
              <w:top w:val="nil"/>
              <w:left w:val="nil"/>
              <w:bottom w:val="nil"/>
              <w:right w:val="nil"/>
            </w:tcBorders>
            <w:shd w:val="clear" w:color="auto" w:fill="auto"/>
            <w:noWrap/>
            <w:vAlign w:val="bottom"/>
            <w:hideMark/>
          </w:tcPr>
          <w:p w:rsidR="00451BA9" w:rsidRPr="001763AE" w:rsidRDefault="00A12516"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$21,549</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$141,813 </w:t>
            </w:r>
          </w:p>
        </w:tc>
        <w:tc>
          <w:tcPr>
            <w:tcW w:w="467" w:type="pct"/>
            <w:tcBorders>
              <w:top w:val="nil"/>
              <w:left w:val="nil"/>
              <w:bottom w:val="nil"/>
              <w:right w:val="nil"/>
            </w:tcBorders>
            <w:shd w:val="clear" w:color="auto" w:fill="auto"/>
            <w:noWrap/>
            <w:vAlign w:val="bottom"/>
            <w:hideMark/>
          </w:tcPr>
          <w:p w:rsidR="00451BA9" w:rsidRPr="001763AE" w:rsidRDefault="0085137F"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$122,351</w:t>
            </w:r>
            <w:r w:rsidR="00451BA9" w:rsidRPr="001763AE">
              <w:rPr>
                <w:rFonts w:ascii="Calibri" w:eastAsia="Times New Roman" w:hAnsi="Calibri" w:cs="Times New Roman"/>
                <w:color w:val="000000"/>
                <w:sz w:val="20"/>
                <w:szCs w:val="20"/>
                <w:lang w:eastAsia="en-GB"/>
              </w:rPr>
              <w:t xml:space="preserve"> </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$99,560 </w:t>
            </w:r>
          </w:p>
        </w:tc>
        <w:tc>
          <w:tcPr>
            <w:tcW w:w="479" w:type="pct"/>
            <w:tcBorders>
              <w:top w:val="nil"/>
              <w:left w:val="nil"/>
              <w:bottom w:val="nil"/>
              <w:right w:val="nil"/>
            </w:tcBorders>
            <w:shd w:val="clear" w:color="auto" w:fill="auto"/>
            <w:noWrap/>
            <w:vAlign w:val="bottom"/>
            <w:hideMark/>
          </w:tcPr>
          <w:p w:rsidR="00451BA9" w:rsidRPr="001763AE" w:rsidRDefault="0085137F"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$4,299</w:t>
            </w:r>
          </w:p>
        </w:tc>
        <w:tc>
          <w:tcPr>
            <w:tcW w:w="528" w:type="pct"/>
            <w:tcBorders>
              <w:top w:val="nil"/>
              <w:left w:val="nil"/>
              <w:bottom w:val="nil"/>
              <w:right w:val="nil"/>
            </w:tcBorders>
            <w:shd w:val="clear" w:color="auto" w:fill="auto"/>
            <w:noWrap/>
            <w:vAlign w:val="bottom"/>
            <w:hideMark/>
          </w:tcPr>
          <w:p w:rsidR="00451BA9" w:rsidRPr="00235F76" w:rsidRDefault="00451BA9" w:rsidP="00B33D20">
            <w:pPr>
              <w:spacing w:line="240" w:lineRule="auto"/>
              <w:rPr>
                <w:rFonts w:ascii="Calibri" w:eastAsia="Times New Roman" w:hAnsi="Calibri" w:cs="Times New Roman"/>
                <w:color w:val="000000"/>
                <w:sz w:val="20"/>
                <w:szCs w:val="20"/>
                <w:highlight w:val="yellow"/>
                <w:lang w:eastAsia="en-GB"/>
              </w:rPr>
            </w:pPr>
            <w:r w:rsidRPr="00235F76">
              <w:rPr>
                <w:rFonts w:ascii="Calibri" w:eastAsia="Times New Roman" w:hAnsi="Calibri" w:cs="Times New Roman"/>
                <w:color w:val="000000"/>
                <w:sz w:val="20"/>
                <w:szCs w:val="20"/>
                <w:highlight w:val="yellow"/>
                <w:lang w:eastAsia="en-GB"/>
              </w:rPr>
              <w:t xml:space="preserve"> $389,57</w:t>
            </w:r>
            <w:r w:rsidR="0085137F" w:rsidRPr="00235F76">
              <w:rPr>
                <w:rFonts w:ascii="Calibri" w:eastAsia="Times New Roman" w:hAnsi="Calibri" w:cs="Times New Roman"/>
                <w:color w:val="000000"/>
                <w:sz w:val="20"/>
                <w:szCs w:val="20"/>
                <w:highlight w:val="yellow"/>
                <w:lang w:eastAsia="en-GB"/>
              </w:rPr>
              <w:t>2</w:t>
            </w:r>
          </w:p>
        </w:tc>
        <w:tc>
          <w:tcPr>
            <w:tcW w:w="567" w:type="pct"/>
            <w:tcBorders>
              <w:top w:val="nil"/>
              <w:left w:val="nil"/>
              <w:bottom w:val="nil"/>
              <w:right w:val="nil"/>
            </w:tcBorders>
          </w:tcPr>
          <w:p w:rsidR="00451BA9" w:rsidRPr="001763AE" w:rsidRDefault="00451BA9" w:rsidP="00B33D20">
            <w:pPr>
              <w:spacing w:line="240" w:lineRule="auto"/>
              <w:rPr>
                <w:rFonts w:ascii="Calibri" w:eastAsia="Times New Roman" w:hAnsi="Calibri" w:cs="Times New Roman"/>
                <w:color w:val="000000"/>
                <w:sz w:val="20"/>
                <w:szCs w:val="20"/>
                <w:lang w:eastAsia="en-GB"/>
              </w:rPr>
            </w:pPr>
          </w:p>
        </w:tc>
        <w:tc>
          <w:tcPr>
            <w:tcW w:w="302" w:type="pct"/>
            <w:tcBorders>
              <w:top w:val="nil"/>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451BA9" w:rsidRPr="001763AE" w:rsidTr="0085137F">
        <w:trPr>
          <w:trHeight w:val="20"/>
        </w:trPr>
        <w:tc>
          <w:tcPr>
            <w:tcW w:w="647" w:type="pct"/>
            <w:tcBorders>
              <w:top w:val="single" w:sz="4" w:space="0" w:color="auto"/>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Cs/>
                <w:color w:val="000000"/>
                <w:sz w:val="20"/>
                <w:szCs w:val="20"/>
                <w:lang w:eastAsia="en-GB"/>
              </w:rPr>
            </w:pPr>
            <w:r w:rsidRPr="001763AE">
              <w:rPr>
                <w:rFonts w:ascii="Calibri" w:eastAsia="Times New Roman" w:hAnsi="Calibri" w:cs="Times New Roman"/>
                <w:bCs/>
                <w:color w:val="000000"/>
                <w:sz w:val="20"/>
                <w:szCs w:val="20"/>
                <w:lang w:eastAsia="en-GB"/>
              </w:rPr>
              <w:t>COMPONENT 2</w:t>
            </w:r>
          </w:p>
        </w:tc>
        <w:tc>
          <w:tcPr>
            <w:tcW w:w="615" w:type="pct"/>
            <w:gridSpan w:val="3"/>
            <w:tcBorders>
              <w:top w:val="single" w:sz="4" w:space="0" w:color="auto"/>
              <w:left w:val="nil"/>
              <w:bottom w:val="nil"/>
              <w:right w:val="nil"/>
            </w:tcBorders>
            <w:shd w:val="clear" w:color="000000" w:fill="D9D9D9"/>
            <w:noWrap/>
            <w:vAlign w:val="bottom"/>
            <w:hideMark/>
          </w:tcPr>
          <w:p w:rsidR="00451BA9" w:rsidRPr="001763AE" w:rsidRDefault="001752CF"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Planned</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$113,000</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$223,500 </w:t>
            </w:r>
          </w:p>
        </w:tc>
        <w:tc>
          <w:tcPr>
            <w:tcW w:w="467"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$90,000. 00 </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$56,150</w:t>
            </w:r>
          </w:p>
        </w:tc>
        <w:tc>
          <w:tcPr>
            <w:tcW w:w="479"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w:t>
            </w:r>
            <w:r w:rsidR="0025256D">
              <w:rPr>
                <w:rFonts w:ascii="Calibri" w:eastAsia="Times New Roman" w:hAnsi="Calibri" w:cs="Times New Roman"/>
                <w:color w:val="000000"/>
                <w:sz w:val="20"/>
                <w:szCs w:val="20"/>
                <w:lang w:eastAsia="en-GB"/>
              </w:rPr>
              <w:t xml:space="preserve"> </w:t>
            </w:r>
          </w:p>
        </w:tc>
        <w:tc>
          <w:tcPr>
            <w:tcW w:w="528" w:type="pct"/>
            <w:tcBorders>
              <w:top w:val="single" w:sz="4" w:space="0" w:color="auto"/>
              <w:left w:val="nil"/>
              <w:bottom w:val="nil"/>
              <w:right w:val="nil"/>
            </w:tcBorders>
            <w:shd w:val="clear" w:color="000000" w:fill="D9D9D9"/>
            <w:noWrap/>
            <w:vAlign w:val="bottom"/>
            <w:hideMark/>
          </w:tcPr>
          <w:p w:rsidR="00451BA9" w:rsidRPr="00235F76" w:rsidRDefault="00451BA9" w:rsidP="00B33D20">
            <w:pPr>
              <w:spacing w:line="240" w:lineRule="auto"/>
              <w:rPr>
                <w:rFonts w:ascii="Calibri" w:eastAsia="Times New Roman" w:hAnsi="Calibri" w:cs="Times New Roman"/>
                <w:color w:val="000000"/>
                <w:sz w:val="20"/>
                <w:szCs w:val="20"/>
                <w:highlight w:val="yellow"/>
                <w:lang w:eastAsia="en-GB"/>
              </w:rPr>
            </w:pPr>
            <w:r w:rsidRPr="00235F76">
              <w:rPr>
                <w:rFonts w:ascii="Calibri" w:eastAsia="Times New Roman" w:hAnsi="Calibri" w:cs="Times New Roman"/>
                <w:color w:val="000000"/>
                <w:sz w:val="20"/>
                <w:szCs w:val="20"/>
                <w:highlight w:val="yellow"/>
                <w:lang w:eastAsia="en-GB"/>
              </w:rPr>
              <w:t xml:space="preserve"> $482,650</w:t>
            </w:r>
          </w:p>
        </w:tc>
        <w:tc>
          <w:tcPr>
            <w:tcW w:w="567" w:type="pct"/>
            <w:tcBorders>
              <w:top w:val="single" w:sz="4" w:space="0" w:color="auto"/>
              <w:left w:val="nil"/>
              <w:bottom w:val="nil"/>
              <w:right w:val="nil"/>
            </w:tcBorders>
          </w:tcPr>
          <w:p w:rsidR="00451BA9" w:rsidRPr="001763AE" w:rsidRDefault="00451BA9" w:rsidP="00B33D20">
            <w:pPr>
              <w:spacing w:line="240" w:lineRule="auto"/>
              <w:rPr>
                <w:rFonts w:ascii="Calibri" w:eastAsia="Times New Roman" w:hAnsi="Calibri" w:cs="Times New Roman"/>
                <w:color w:val="000000"/>
                <w:sz w:val="20"/>
                <w:szCs w:val="20"/>
                <w:lang w:eastAsia="en-GB"/>
              </w:rPr>
            </w:pPr>
          </w:p>
        </w:tc>
        <w:tc>
          <w:tcPr>
            <w:tcW w:w="302" w:type="pct"/>
            <w:tcBorders>
              <w:top w:val="single" w:sz="4" w:space="0" w:color="auto"/>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A12516" w:rsidRPr="001763AE" w:rsidTr="0085137F">
        <w:trPr>
          <w:trHeight w:val="20"/>
        </w:trPr>
        <w:tc>
          <w:tcPr>
            <w:tcW w:w="647" w:type="pct"/>
            <w:tcBorders>
              <w:top w:val="nil"/>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c>
          <w:tcPr>
            <w:tcW w:w="369" w:type="pct"/>
            <w:gridSpan w:val="2"/>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Actual</w:t>
            </w:r>
          </w:p>
        </w:tc>
        <w:tc>
          <w:tcPr>
            <w:tcW w:w="246"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p>
        </w:tc>
        <w:tc>
          <w:tcPr>
            <w:tcW w:w="465" w:type="pct"/>
            <w:tcBorders>
              <w:top w:val="nil"/>
              <w:left w:val="nil"/>
              <w:bottom w:val="nil"/>
              <w:right w:val="nil"/>
            </w:tcBorders>
            <w:shd w:val="clear" w:color="auto" w:fill="auto"/>
            <w:noWrap/>
            <w:vAlign w:val="bottom"/>
            <w:hideMark/>
          </w:tcPr>
          <w:p w:rsidR="00451BA9" w:rsidRPr="001763AE" w:rsidRDefault="00A12516"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$7,708</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$98,434</w:t>
            </w:r>
          </w:p>
        </w:tc>
        <w:tc>
          <w:tcPr>
            <w:tcW w:w="467" w:type="pct"/>
            <w:tcBorders>
              <w:top w:val="nil"/>
              <w:left w:val="nil"/>
              <w:bottom w:val="nil"/>
              <w:right w:val="nil"/>
            </w:tcBorders>
            <w:shd w:val="clear" w:color="auto" w:fill="auto"/>
            <w:noWrap/>
            <w:vAlign w:val="bottom"/>
            <w:hideMark/>
          </w:tcPr>
          <w:p w:rsidR="00451BA9" w:rsidRPr="001763AE" w:rsidRDefault="003C647A" w:rsidP="003C647A">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$110,350</w:t>
            </w:r>
            <w:r w:rsidR="00451BA9" w:rsidRPr="001763AE">
              <w:rPr>
                <w:rFonts w:ascii="Calibri" w:eastAsia="Times New Roman" w:hAnsi="Calibri" w:cs="Times New Roman"/>
                <w:color w:val="000000"/>
                <w:sz w:val="20"/>
                <w:szCs w:val="20"/>
                <w:lang w:eastAsia="en-GB"/>
              </w:rPr>
              <w:t xml:space="preserve"> </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$175,690 </w:t>
            </w:r>
          </w:p>
        </w:tc>
        <w:tc>
          <w:tcPr>
            <w:tcW w:w="479" w:type="pct"/>
            <w:tcBorders>
              <w:top w:val="nil"/>
              <w:left w:val="nil"/>
              <w:bottom w:val="nil"/>
              <w:right w:val="nil"/>
            </w:tcBorders>
            <w:shd w:val="clear" w:color="auto" w:fill="auto"/>
            <w:noWrap/>
            <w:vAlign w:val="bottom"/>
            <w:hideMark/>
          </w:tcPr>
          <w:p w:rsidR="00451BA9" w:rsidRPr="001763AE" w:rsidRDefault="0085137F"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$27,416</w:t>
            </w:r>
          </w:p>
        </w:tc>
        <w:tc>
          <w:tcPr>
            <w:tcW w:w="528" w:type="pct"/>
            <w:tcBorders>
              <w:top w:val="nil"/>
              <w:left w:val="nil"/>
              <w:bottom w:val="nil"/>
              <w:right w:val="nil"/>
            </w:tcBorders>
            <w:shd w:val="clear" w:color="auto" w:fill="auto"/>
            <w:noWrap/>
            <w:vAlign w:val="bottom"/>
            <w:hideMark/>
          </w:tcPr>
          <w:p w:rsidR="00451BA9" w:rsidRPr="00235F76" w:rsidRDefault="00451BA9" w:rsidP="00B33D20">
            <w:pPr>
              <w:spacing w:line="240" w:lineRule="auto"/>
              <w:rPr>
                <w:rFonts w:ascii="Calibri" w:eastAsia="Times New Roman" w:hAnsi="Calibri" w:cs="Times New Roman"/>
                <w:color w:val="000000"/>
                <w:sz w:val="20"/>
                <w:szCs w:val="20"/>
                <w:highlight w:val="yellow"/>
                <w:lang w:eastAsia="en-GB"/>
              </w:rPr>
            </w:pPr>
            <w:r w:rsidRPr="00235F76">
              <w:rPr>
                <w:rFonts w:ascii="Calibri" w:eastAsia="Times New Roman" w:hAnsi="Calibri" w:cs="Times New Roman"/>
                <w:color w:val="000000"/>
                <w:sz w:val="20"/>
                <w:szCs w:val="20"/>
                <w:highlight w:val="yellow"/>
                <w:lang w:eastAsia="en-GB"/>
              </w:rPr>
              <w:t xml:space="preserve"> $419,598</w:t>
            </w:r>
          </w:p>
        </w:tc>
        <w:tc>
          <w:tcPr>
            <w:tcW w:w="567" w:type="pct"/>
            <w:tcBorders>
              <w:top w:val="nil"/>
              <w:left w:val="nil"/>
              <w:bottom w:val="nil"/>
              <w:right w:val="nil"/>
            </w:tcBorders>
          </w:tcPr>
          <w:p w:rsidR="00451BA9" w:rsidRPr="001763AE" w:rsidRDefault="00451BA9" w:rsidP="00B33D20">
            <w:pPr>
              <w:spacing w:line="240" w:lineRule="auto"/>
              <w:rPr>
                <w:rFonts w:ascii="Calibri" w:eastAsia="Times New Roman" w:hAnsi="Calibri" w:cs="Times New Roman"/>
                <w:color w:val="000000"/>
                <w:sz w:val="20"/>
                <w:szCs w:val="20"/>
                <w:lang w:eastAsia="en-GB"/>
              </w:rPr>
            </w:pPr>
          </w:p>
        </w:tc>
        <w:tc>
          <w:tcPr>
            <w:tcW w:w="302" w:type="pct"/>
            <w:tcBorders>
              <w:top w:val="nil"/>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451BA9" w:rsidRPr="001763AE" w:rsidTr="0085137F">
        <w:trPr>
          <w:trHeight w:val="20"/>
        </w:trPr>
        <w:tc>
          <w:tcPr>
            <w:tcW w:w="647" w:type="pct"/>
            <w:tcBorders>
              <w:top w:val="single" w:sz="4" w:space="0" w:color="auto"/>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Cs/>
                <w:color w:val="000000"/>
                <w:sz w:val="20"/>
                <w:szCs w:val="20"/>
                <w:lang w:eastAsia="en-GB"/>
              </w:rPr>
            </w:pPr>
            <w:r w:rsidRPr="001763AE">
              <w:rPr>
                <w:rFonts w:ascii="Calibri" w:eastAsia="Times New Roman" w:hAnsi="Calibri" w:cs="Times New Roman"/>
                <w:bCs/>
                <w:color w:val="000000"/>
                <w:sz w:val="20"/>
                <w:szCs w:val="20"/>
                <w:lang w:eastAsia="en-GB"/>
              </w:rPr>
              <w:t xml:space="preserve">PROJECT MANAGEMENT </w:t>
            </w:r>
          </w:p>
        </w:tc>
        <w:tc>
          <w:tcPr>
            <w:tcW w:w="615" w:type="pct"/>
            <w:gridSpan w:val="3"/>
            <w:tcBorders>
              <w:top w:val="single" w:sz="4" w:space="0" w:color="auto"/>
              <w:left w:val="nil"/>
              <w:bottom w:val="nil"/>
              <w:right w:val="nil"/>
            </w:tcBorders>
            <w:shd w:val="clear" w:color="000000" w:fill="D9D9D9"/>
            <w:noWrap/>
            <w:vAlign w:val="bottom"/>
            <w:hideMark/>
          </w:tcPr>
          <w:p w:rsidR="00451BA9" w:rsidRPr="001763AE" w:rsidRDefault="001752CF"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Planned</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$14,000</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$28,350 </w:t>
            </w:r>
          </w:p>
        </w:tc>
        <w:tc>
          <w:tcPr>
            <w:tcW w:w="467"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$19,500. 00 </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$28,000. 00 </w:t>
            </w:r>
          </w:p>
        </w:tc>
        <w:tc>
          <w:tcPr>
            <w:tcW w:w="479"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w:t>
            </w:r>
            <w:r w:rsidR="0025256D">
              <w:rPr>
                <w:rFonts w:ascii="Calibri" w:eastAsia="Times New Roman" w:hAnsi="Calibri" w:cs="Times New Roman"/>
                <w:color w:val="000000"/>
                <w:sz w:val="20"/>
                <w:szCs w:val="20"/>
                <w:lang w:eastAsia="en-GB"/>
              </w:rPr>
              <w:t xml:space="preserve"> </w:t>
            </w:r>
          </w:p>
        </w:tc>
        <w:tc>
          <w:tcPr>
            <w:tcW w:w="528" w:type="pct"/>
            <w:tcBorders>
              <w:top w:val="single" w:sz="4" w:space="0" w:color="auto"/>
              <w:left w:val="nil"/>
              <w:bottom w:val="nil"/>
              <w:right w:val="nil"/>
            </w:tcBorders>
            <w:shd w:val="clear" w:color="000000" w:fill="D9D9D9"/>
            <w:noWrap/>
            <w:vAlign w:val="bottom"/>
            <w:hideMark/>
          </w:tcPr>
          <w:p w:rsidR="00451BA9" w:rsidRPr="00235F76" w:rsidRDefault="00451BA9" w:rsidP="00B33D20">
            <w:pPr>
              <w:spacing w:line="240" w:lineRule="auto"/>
              <w:rPr>
                <w:rFonts w:ascii="Calibri" w:eastAsia="Times New Roman" w:hAnsi="Calibri" w:cs="Times New Roman"/>
                <w:color w:val="000000"/>
                <w:sz w:val="20"/>
                <w:szCs w:val="20"/>
                <w:highlight w:val="yellow"/>
                <w:lang w:eastAsia="en-GB"/>
              </w:rPr>
            </w:pPr>
            <w:r w:rsidRPr="00235F76">
              <w:rPr>
                <w:rFonts w:ascii="Calibri" w:eastAsia="Times New Roman" w:hAnsi="Calibri" w:cs="Times New Roman"/>
                <w:color w:val="000000"/>
                <w:sz w:val="20"/>
                <w:szCs w:val="20"/>
                <w:highlight w:val="yellow"/>
                <w:lang w:eastAsia="en-GB"/>
              </w:rPr>
              <w:t xml:space="preserve"> $89,850 </w:t>
            </w:r>
          </w:p>
        </w:tc>
        <w:tc>
          <w:tcPr>
            <w:tcW w:w="567" w:type="pct"/>
            <w:tcBorders>
              <w:top w:val="single" w:sz="4" w:space="0" w:color="auto"/>
              <w:left w:val="nil"/>
              <w:bottom w:val="nil"/>
              <w:right w:val="nil"/>
            </w:tcBorders>
          </w:tcPr>
          <w:p w:rsidR="00451BA9" w:rsidRPr="001763AE" w:rsidRDefault="00451BA9" w:rsidP="00B33D20">
            <w:pPr>
              <w:spacing w:line="240" w:lineRule="auto"/>
              <w:rPr>
                <w:rFonts w:ascii="Calibri" w:eastAsia="Times New Roman" w:hAnsi="Calibri" w:cs="Times New Roman"/>
                <w:color w:val="000000"/>
                <w:sz w:val="20"/>
                <w:szCs w:val="20"/>
                <w:lang w:eastAsia="en-GB"/>
              </w:rPr>
            </w:pPr>
          </w:p>
        </w:tc>
        <w:tc>
          <w:tcPr>
            <w:tcW w:w="302" w:type="pct"/>
            <w:tcBorders>
              <w:top w:val="single" w:sz="4" w:space="0" w:color="auto"/>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451BA9" w:rsidRPr="001763AE" w:rsidTr="0085137F">
        <w:trPr>
          <w:trHeight w:val="20"/>
        </w:trPr>
        <w:tc>
          <w:tcPr>
            <w:tcW w:w="647" w:type="pct"/>
            <w:tcBorders>
              <w:top w:val="nil"/>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c>
          <w:tcPr>
            <w:tcW w:w="615" w:type="pct"/>
            <w:gridSpan w:val="3"/>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Actual</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$9,588</w:t>
            </w:r>
          </w:p>
        </w:tc>
        <w:tc>
          <w:tcPr>
            <w:tcW w:w="465" w:type="pct"/>
            <w:tcBorders>
              <w:top w:val="nil"/>
              <w:left w:val="nil"/>
              <w:bottom w:val="nil"/>
              <w:right w:val="nil"/>
            </w:tcBorders>
            <w:shd w:val="clear" w:color="auto" w:fill="auto"/>
            <w:noWrap/>
            <w:vAlign w:val="bottom"/>
            <w:hideMark/>
          </w:tcPr>
          <w:p w:rsidR="00451BA9" w:rsidRPr="001763AE" w:rsidRDefault="00A12516"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$8,643</w:t>
            </w:r>
          </w:p>
        </w:tc>
        <w:tc>
          <w:tcPr>
            <w:tcW w:w="467" w:type="pct"/>
            <w:tcBorders>
              <w:top w:val="nil"/>
              <w:left w:val="nil"/>
              <w:bottom w:val="nil"/>
              <w:right w:val="nil"/>
            </w:tcBorders>
            <w:shd w:val="clear" w:color="auto" w:fill="auto"/>
            <w:noWrap/>
            <w:vAlign w:val="bottom"/>
            <w:hideMark/>
          </w:tcPr>
          <w:p w:rsidR="00451BA9" w:rsidRPr="001763AE" w:rsidRDefault="0085137F"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$2,678</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$26,934.40 </w:t>
            </w:r>
          </w:p>
        </w:tc>
        <w:tc>
          <w:tcPr>
            <w:tcW w:w="479" w:type="pct"/>
            <w:tcBorders>
              <w:top w:val="nil"/>
              <w:left w:val="nil"/>
              <w:bottom w:val="nil"/>
              <w:right w:val="nil"/>
            </w:tcBorders>
            <w:shd w:val="clear" w:color="auto" w:fill="auto"/>
            <w:noWrap/>
            <w:vAlign w:val="bottom"/>
            <w:hideMark/>
          </w:tcPr>
          <w:p w:rsidR="00451BA9" w:rsidRPr="001763AE" w:rsidRDefault="0085137F"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$2,168</w:t>
            </w:r>
          </w:p>
        </w:tc>
        <w:tc>
          <w:tcPr>
            <w:tcW w:w="528" w:type="pct"/>
            <w:tcBorders>
              <w:top w:val="nil"/>
              <w:left w:val="nil"/>
              <w:bottom w:val="nil"/>
              <w:right w:val="nil"/>
            </w:tcBorders>
            <w:shd w:val="clear" w:color="auto" w:fill="auto"/>
            <w:noWrap/>
            <w:vAlign w:val="bottom"/>
            <w:hideMark/>
          </w:tcPr>
          <w:p w:rsidR="00451BA9" w:rsidRPr="00235F76" w:rsidRDefault="0085137F" w:rsidP="00B33D20">
            <w:pPr>
              <w:spacing w:line="240" w:lineRule="auto"/>
              <w:rPr>
                <w:rFonts w:ascii="Calibri" w:eastAsia="Times New Roman" w:hAnsi="Calibri" w:cs="Times New Roman"/>
                <w:color w:val="000000"/>
                <w:sz w:val="20"/>
                <w:szCs w:val="20"/>
                <w:highlight w:val="yellow"/>
                <w:lang w:eastAsia="en-GB"/>
              </w:rPr>
            </w:pPr>
            <w:r w:rsidRPr="00235F76">
              <w:rPr>
                <w:rFonts w:ascii="Calibri" w:eastAsia="Times New Roman" w:hAnsi="Calibri" w:cs="Times New Roman"/>
                <w:color w:val="000000"/>
                <w:sz w:val="20"/>
                <w:szCs w:val="20"/>
                <w:highlight w:val="yellow"/>
                <w:lang w:eastAsia="en-GB"/>
              </w:rPr>
              <w:t xml:space="preserve"> $50,011</w:t>
            </w:r>
          </w:p>
        </w:tc>
        <w:tc>
          <w:tcPr>
            <w:tcW w:w="567" w:type="pct"/>
            <w:tcBorders>
              <w:top w:val="nil"/>
              <w:left w:val="nil"/>
              <w:bottom w:val="nil"/>
              <w:right w:val="nil"/>
            </w:tcBorders>
          </w:tcPr>
          <w:p w:rsidR="00451BA9" w:rsidRPr="001763AE" w:rsidRDefault="00451BA9" w:rsidP="00B33D20">
            <w:pPr>
              <w:spacing w:line="240" w:lineRule="auto"/>
              <w:rPr>
                <w:rFonts w:ascii="Calibri" w:eastAsia="Times New Roman" w:hAnsi="Calibri" w:cs="Times New Roman"/>
                <w:color w:val="000000"/>
                <w:sz w:val="20"/>
                <w:szCs w:val="20"/>
                <w:lang w:eastAsia="en-GB"/>
              </w:rPr>
            </w:pPr>
          </w:p>
        </w:tc>
        <w:tc>
          <w:tcPr>
            <w:tcW w:w="302" w:type="pct"/>
            <w:tcBorders>
              <w:top w:val="nil"/>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451BA9" w:rsidRPr="001763AE" w:rsidTr="0085137F">
        <w:trPr>
          <w:trHeight w:val="20"/>
        </w:trPr>
        <w:tc>
          <w:tcPr>
            <w:tcW w:w="647" w:type="pct"/>
            <w:tcBorders>
              <w:top w:val="single" w:sz="4" w:space="0" w:color="auto"/>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Cs/>
                <w:color w:val="000000"/>
                <w:sz w:val="20"/>
                <w:szCs w:val="20"/>
                <w:lang w:eastAsia="en-GB"/>
              </w:rPr>
            </w:pPr>
            <w:r w:rsidRPr="001763AE">
              <w:rPr>
                <w:rFonts w:ascii="Calibri" w:eastAsia="Times New Roman" w:hAnsi="Calibri" w:cs="Times New Roman"/>
                <w:bCs/>
                <w:color w:val="000000"/>
                <w:sz w:val="20"/>
                <w:szCs w:val="20"/>
                <w:lang w:eastAsia="en-GB"/>
              </w:rPr>
              <w:t>ADJUSTMENTS</w:t>
            </w:r>
          </w:p>
        </w:tc>
        <w:tc>
          <w:tcPr>
            <w:tcW w:w="615" w:type="pct"/>
            <w:gridSpan w:val="3"/>
            <w:tcBorders>
              <w:top w:val="single" w:sz="4" w:space="0" w:color="auto"/>
              <w:left w:val="nil"/>
              <w:bottom w:val="nil"/>
              <w:right w:val="nil"/>
            </w:tcBorders>
            <w:shd w:val="clear" w:color="000000" w:fill="D9D9D9"/>
            <w:noWrap/>
            <w:vAlign w:val="bottom"/>
            <w:hideMark/>
          </w:tcPr>
          <w:p w:rsidR="00451BA9" w:rsidRPr="001763AE" w:rsidRDefault="001752CF"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Planned</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w:t>
            </w:r>
            <w:r w:rsidR="0025256D">
              <w:rPr>
                <w:rFonts w:ascii="Calibri" w:eastAsia="Times New Roman" w:hAnsi="Calibri" w:cs="Times New Roman"/>
                <w:color w:val="000000"/>
                <w:sz w:val="20"/>
                <w:szCs w:val="20"/>
                <w:lang w:eastAsia="en-GB"/>
              </w:rPr>
              <w:t xml:space="preserve"> </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w:t>
            </w:r>
            <w:r w:rsidR="0025256D">
              <w:rPr>
                <w:rFonts w:ascii="Calibri" w:eastAsia="Times New Roman" w:hAnsi="Calibri" w:cs="Times New Roman"/>
                <w:color w:val="000000"/>
                <w:sz w:val="20"/>
                <w:szCs w:val="20"/>
                <w:lang w:eastAsia="en-GB"/>
              </w:rPr>
              <w:t xml:space="preserve"> </w:t>
            </w:r>
          </w:p>
        </w:tc>
        <w:tc>
          <w:tcPr>
            <w:tcW w:w="467"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w:t>
            </w:r>
            <w:r w:rsidR="0025256D">
              <w:rPr>
                <w:rFonts w:ascii="Calibri" w:eastAsia="Times New Roman" w:hAnsi="Calibri" w:cs="Times New Roman"/>
                <w:color w:val="000000"/>
                <w:sz w:val="20"/>
                <w:szCs w:val="20"/>
                <w:lang w:eastAsia="en-GB"/>
              </w:rPr>
              <w:t xml:space="preserve"> </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w:t>
            </w:r>
            <w:r w:rsidR="0025256D">
              <w:rPr>
                <w:rFonts w:ascii="Calibri" w:eastAsia="Times New Roman" w:hAnsi="Calibri" w:cs="Times New Roman"/>
                <w:color w:val="000000"/>
                <w:sz w:val="20"/>
                <w:szCs w:val="20"/>
                <w:lang w:eastAsia="en-GB"/>
              </w:rPr>
              <w:t xml:space="preserve"> </w:t>
            </w:r>
          </w:p>
        </w:tc>
        <w:tc>
          <w:tcPr>
            <w:tcW w:w="479"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w:t>
            </w:r>
            <w:r w:rsidR="0025256D">
              <w:rPr>
                <w:rFonts w:ascii="Calibri" w:eastAsia="Times New Roman" w:hAnsi="Calibri" w:cs="Times New Roman"/>
                <w:color w:val="000000"/>
                <w:sz w:val="20"/>
                <w:szCs w:val="20"/>
                <w:lang w:eastAsia="en-GB"/>
              </w:rPr>
              <w:t xml:space="preserve"> </w:t>
            </w:r>
          </w:p>
        </w:tc>
        <w:tc>
          <w:tcPr>
            <w:tcW w:w="528" w:type="pct"/>
            <w:tcBorders>
              <w:top w:val="single" w:sz="4" w:space="0" w:color="auto"/>
              <w:left w:val="nil"/>
              <w:bottom w:val="nil"/>
              <w:right w:val="nil"/>
            </w:tcBorders>
            <w:shd w:val="clear" w:color="000000" w:fill="D9D9D9"/>
            <w:noWrap/>
            <w:vAlign w:val="bottom"/>
            <w:hideMark/>
          </w:tcPr>
          <w:p w:rsidR="00451BA9" w:rsidRPr="00235F76" w:rsidRDefault="00451BA9" w:rsidP="00B33D20">
            <w:pPr>
              <w:spacing w:line="240" w:lineRule="auto"/>
              <w:rPr>
                <w:rFonts w:ascii="Calibri" w:eastAsia="Times New Roman" w:hAnsi="Calibri" w:cs="Times New Roman"/>
                <w:color w:val="000000"/>
                <w:sz w:val="20"/>
                <w:szCs w:val="20"/>
                <w:highlight w:val="yellow"/>
                <w:lang w:eastAsia="en-GB"/>
              </w:rPr>
            </w:pPr>
            <w:r w:rsidRPr="00235F76">
              <w:rPr>
                <w:rFonts w:ascii="Calibri" w:eastAsia="Times New Roman" w:hAnsi="Calibri" w:cs="Times New Roman"/>
                <w:color w:val="000000"/>
                <w:sz w:val="20"/>
                <w:szCs w:val="20"/>
                <w:highlight w:val="yellow"/>
                <w:lang w:eastAsia="en-GB"/>
              </w:rPr>
              <w:t xml:space="preserve"> $-</w:t>
            </w:r>
            <w:r w:rsidR="0025256D" w:rsidRPr="00235F76">
              <w:rPr>
                <w:rFonts w:ascii="Calibri" w:eastAsia="Times New Roman" w:hAnsi="Calibri" w:cs="Times New Roman"/>
                <w:color w:val="000000"/>
                <w:sz w:val="20"/>
                <w:szCs w:val="20"/>
                <w:highlight w:val="yellow"/>
                <w:lang w:eastAsia="en-GB"/>
              </w:rPr>
              <w:t xml:space="preserve"> </w:t>
            </w:r>
          </w:p>
        </w:tc>
        <w:tc>
          <w:tcPr>
            <w:tcW w:w="567" w:type="pct"/>
            <w:tcBorders>
              <w:top w:val="single" w:sz="4" w:space="0" w:color="auto"/>
              <w:left w:val="nil"/>
              <w:bottom w:val="nil"/>
              <w:right w:val="nil"/>
            </w:tcBorders>
          </w:tcPr>
          <w:p w:rsidR="00451BA9" w:rsidRPr="001763AE" w:rsidRDefault="00451BA9" w:rsidP="00B33D20">
            <w:pPr>
              <w:spacing w:line="240" w:lineRule="auto"/>
              <w:rPr>
                <w:rFonts w:ascii="Calibri" w:eastAsia="Times New Roman" w:hAnsi="Calibri" w:cs="Times New Roman"/>
                <w:color w:val="000000"/>
                <w:sz w:val="20"/>
                <w:szCs w:val="20"/>
                <w:lang w:eastAsia="en-GB"/>
              </w:rPr>
            </w:pPr>
          </w:p>
        </w:tc>
        <w:tc>
          <w:tcPr>
            <w:tcW w:w="302" w:type="pct"/>
            <w:tcBorders>
              <w:top w:val="single" w:sz="4" w:space="0" w:color="auto"/>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451BA9" w:rsidRPr="001763AE" w:rsidTr="0085137F">
        <w:trPr>
          <w:trHeight w:val="20"/>
        </w:trPr>
        <w:tc>
          <w:tcPr>
            <w:tcW w:w="647" w:type="pct"/>
            <w:tcBorders>
              <w:top w:val="nil"/>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p>
        </w:tc>
        <w:tc>
          <w:tcPr>
            <w:tcW w:w="615" w:type="pct"/>
            <w:gridSpan w:val="3"/>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Actual</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$1,703</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$7,256</w:t>
            </w:r>
          </w:p>
        </w:tc>
        <w:tc>
          <w:tcPr>
            <w:tcW w:w="467" w:type="pct"/>
            <w:tcBorders>
              <w:top w:val="nil"/>
              <w:left w:val="nil"/>
              <w:bottom w:val="nil"/>
              <w:right w:val="nil"/>
            </w:tcBorders>
            <w:shd w:val="clear" w:color="auto" w:fill="auto"/>
            <w:noWrap/>
            <w:vAlign w:val="bottom"/>
            <w:hideMark/>
          </w:tcPr>
          <w:p w:rsidR="00451BA9" w:rsidRPr="001763AE" w:rsidRDefault="0085137F"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$-94</w:t>
            </w:r>
            <w:r w:rsidR="00451BA9" w:rsidRPr="001763AE">
              <w:rPr>
                <w:rFonts w:ascii="Calibri" w:eastAsia="Times New Roman" w:hAnsi="Calibri" w:cs="Times New Roman"/>
                <w:color w:val="000000"/>
                <w:sz w:val="20"/>
                <w:szCs w:val="20"/>
                <w:lang w:eastAsia="en-GB"/>
              </w:rPr>
              <w:t xml:space="preserve"> </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$1,088.27 </w:t>
            </w:r>
          </w:p>
        </w:tc>
        <w:tc>
          <w:tcPr>
            <w:tcW w:w="479"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w:t>
            </w:r>
            <w:r w:rsidR="0025256D">
              <w:rPr>
                <w:rFonts w:ascii="Calibri" w:eastAsia="Times New Roman" w:hAnsi="Calibri" w:cs="Times New Roman"/>
                <w:color w:val="000000"/>
                <w:sz w:val="20"/>
                <w:szCs w:val="20"/>
                <w:lang w:eastAsia="en-GB"/>
              </w:rPr>
              <w:t xml:space="preserve"> </w:t>
            </w:r>
          </w:p>
        </w:tc>
        <w:tc>
          <w:tcPr>
            <w:tcW w:w="528" w:type="pct"/>
            <w:tcBorders>
              <w:top w:val="nil"/>
              <w:left w:val="nil"/>
              <w:bottom w:val="nil"/>
              <w:right w:val="nil"/>
            </w:tcBorders>
            <w:shd w:val="clear" w:color="auto" w:fill="auto"/>
            <w:noWrap/>
            <w:vAlign w:val="bottom"/>
            <w:hideMark/>
          </w:tcPr>
          <w:p w:rsidR="00451BA9" w:rsidRPr="00235F76" w:rsidRDefault="0085137F" w:rsidP="00B33D20">
            <w:pPr>
              <w:spacing w:line="240" w:lineRule="auto"/>
              <w:rPr>
                <w:rFonts w:ascii="Calibri" w:eastAsia="Times New Roman" w:hAnsi="Calibri" w:cs="Times New Roman"/>
                <w:color w:val="000000"/>
                <w:sz w:val="20"/>
                <w:szCs w:val="20"/>
                <w:highlight w:val="yellow"/>
                <w:lang w:eastAsia="en-GB"/>
              </w:rPr>
            </w:pPr>
            <w:r w:rsidRPr="00235F76">
              <w:rPr>
                <w:rFonts w:ascii="Calibri" w:eastAsia="Times New Roman" w:hAnsi="Calibri" w:cs="Times New Roman"/>
                <w:color w:val="000000"/>
                <w:sz w:val="20"/>
                <w:szCs w:val="20"/>
                <w:highlight w:val="yellow"/>
                <w:lang w:eastAsia="en-GB"/>
              </w:rPr>
              <w:t xml:space="preserve"> $9,954</w:t>
            </w:r>
          </w:p>
        </w:tc>
        <w:tc>
          <w:tcPr>
            <w:tcW w:w="567" w:type="pct"/>
            <w:tcBorders>
              <w:top w:val="nil"/>
              <w:left w:val="nil"/>
              <w:bottom w:val="nil"/>
              <w:right w:val="nil"/>
            </w:tcBorders>
          </w:tcPr>
          <w:p w:rsidR="00451BA9" w:rsidRPr="001763AE" w:rsidRDefault="00451BA9" w:rsidP="00B33D20">
            <w:pPr>
              <w:spacing w:line="240" w:lineRule="auto"/>
              <w:rPr>
                <w:rFonts w:ascii="Calibri" w:eastAsia="Times New Roman" w:hAnsi="Calibri" w:cs="Times New Roman"/>
                <w:color w:val="000000"/>
                <w:sz w:val="20"/>
                <w:szCs w:val="20"/>
                <w:lang w:eastAsia="en-GB"/>
              </w:rPr>
            </w:pPr>
          </w:p>
        </w:tc>
        <w:tc>
          <w:tcPr>
            <w:tcW w:w="302" w:type="pct"/>
            <w:tcBorders>
              <w:top w:val="nil"/>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451BA9" w:rsidRPr="001763AE" w:rsidTr="0085137F">
        <w:trPr>
          <w:trHeight w:val="20"/>
        </w:trPr>
        <w:tc>
          <w:tcPr>
            <w:tcW w:w="647" w:type="pct"/>
            <w:tcBorders>
              <w:top w:val="single" w:sz="4" w:space="0" w:color="auto"/>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TOTAL GEF</w:t>
            </w:r>
          </w:p>
        </w:tc>
        <w:tc>
          <w:tcPr>
            <w:tcW w:w="615" w:type="pct"/>
            <w:gridSpan w:val="3"/>
            <w:tcBorders>
              <w:top w:val="single" w:sz="4" w:space="0" w:color="auto"/>
              <w:left w:val="nil"/>
              <w:bottom w:val="nil"/>
              <w:right w:val="nil"/>
            </w:tcBorders>
            <w:shd w:val="clear" w:color="000000" w:fill="D9D9D9"/>
            <w:noWrap/>
            <w:vAlign w:val="bottom"/>
            <w:hideMark/>
          </w:tcPr>
          <w:p w:rsidR="00451BA9" w:rsidRPr="001763AE" w:rsidRDefault="001752CF" w:rsidP="00B33D20">
            <w:pPr>
              <w:spacing w:line="240" w:lineRule="auto"/>
              <w:rPr>
                <w:rFonts w:ascii="Calibri" w:eastAsia="Times New Roman" w:hAnsi="Calibri" w:cs="Times New Roman"/>
                <w:bCs/>
                <w:color w:val="000000"/>
                <w:sz w:val="20"/>
                <w:szCs w:val="20"/>
                <w:lang w:eastAsia="en-GB"/>
              </w:rPr>
            </w:pPr>
            <w:r w:rsidRPr="001763AE">
              <w:rPr>
                <w:rFonts w:ascii="Calibri" w:eastAsia="Times New Roman" w:hAnsi="Calibri" w:cs="Times New Roman"/>
                <w:color w:val="000000"/>
                <w:sz w:val="20"/>
                <w:szCs w:val="20"/>
                <w:lang w:eastAsia="en-GB"/>
              </w:rPr>
              <w:t>Planned</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bCs/>
                <w:color w:val="000000"/>
                <w:sz w:val="20"/>
                <w:szCs w:val="20"/>
                <w:lang w:eastAsia="en-GB"/>
              </w:rPr>
            </w:pPr>
            <w:r w:rsidRPr="001763AE">
              <w:rPr>
                <w:rFonts w:ascii="Calibri" w:eastAsia="Times New Roman" w:hAnsi="Calibri" w:cs="Times New Roman"/>
                <w:bCs/>
                <w:color w:val="000000"/>
                <w:sz w:val="20"/>
                <w:szCs w:val="20"/>
                <w:lang w:eastAsia="en-GB"/>
              </w:rPr>
              <w:t xml:space="preserve"> $255,000 </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bCs/>
                <w:color w:val="000000"/>
                <w:sz w:val="20"/>
                <w:szCs w:val="20"/>
                <w:lang w:eastAsia="en-GB"/>
              </w:rPr>
            </w:pPr>
            <w:r w:rsidRPr="001763AE">
              <w:rPr>
                <w:rFonts w:ascii="Calibri" w:eastAsia="Times New Roman" w:hAnsi="Calibri" w:cs="Times New Roman"/>
                <w:bCs/>
                <w:color w:val="000000"/>
                <w:sz w:val="20"/>
                <w:szCs w:val="20"/>
                <w:lang w:eastAsia="en-GB"/>
              </w:rPr>
              <w:t xml:space="preserve"> $387,350 </w:t>
            </w:r>
          </w:p>
        </w:tc>
        <w:tc>
          <w:tcPr>
            <w:tcW w:w="467"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bCs/>
                <w:color w:val="000000"/>
                <w:sz w:val="20"/>
                <w:szCs w:val="20"/>
                <w:lang w:eastAsia="en-GB"/>
              </w:rPr>
            </w:pPr>
            <w:r w:rsidRPr="001763AE">
              <w:rPr>
                <w:rFonts w:ascii="Calibri" w:eastAsia="Times New Roman" w:hAnsi="Calibri" w:cs="Times New Roman"/>
                <w:bCs/>
                <w:color w:val="000000"/>
                <w:sz w:val="20"/>
                <w:szCs w:val="20"/>
                <w:lang w:eastAsia="en-GB"/>
              </w:rPr>
              <w:t xml:space="preserve"> $171,500</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bCs/>
                <w:color w:val="000000"/>
                <w:sz w:val="20"/>
                <w:szCs w:val="20"/>
                <w:lang w:eastAsia="en-GB"/>
              </w:rPr>
            </w:pPr>
            <w:r w:rsidRPr="001763AE">
              <w:rPr>
                <w:rFonts w:ascii="Calibri" w:eastAsia="Times New Roman" w:hAnsi="Calibri" w:cs="Times New Roman"/>
                <w:bCs/>
                <w:color w:val="000000"/>
                <w:sz w:val="20"/>
                <w:szCs w:val="20"/>
                <w:lang w:eastAsia="en-GB"/>
              </w:rPr>
              <w:t xml:space="preserve"> $136,150</w:t>
            </w:r>
          </w:p>
        </w:tc>
        <w:tc>
          <w:tcPr>
            <w:tcW w:w="479"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bCs/>
                <w:color w:val="000000"/>
                <w:sz w:val="20"/>
                <w:szCs w:val="20"/>
                <w:lang w:eastAsia="en-GB"/>
              </w:rPr>
            </w:pPr>
            <w:r w:rsidRPr="001763AE">
              <w:rPr>
                <w:rFonts w:ascii="Calibri" w:eastAsia="Times New Roman" w:hAnsi="Calibri" w:cs="Times New Roman"/>
                <w:bCs/>
                <w:color w:val="000000"/>
                <w:sz w:val="20"/>
                <w:szCs w:val="20"/>
                <w:lang w:eastAsia="en-GB"/>
              </w:rPr>
              <w:t xml:space="preserve"> $-</w:t>
            </w:r>
            <w:r w:rsidR="0025256D">
              <w:rPr>
                <w:rFonts w:ascii="Calibri" w:eastAsia="Times New Roman" w:hAnsi="Calibri" w:cs="Times New Roman"/>
                <w:bCs/>
                <w:color w:val="000000"/>
                <w:sz w:val="20"/>
                <w:szCs w:val="20"/>
                <w:lang w:eastAsia="en-GB"/>
              </w:rPr>
              <w:t xml:space="preserve"> </w:t>
            </w:r>
          </w:p>
        </w:tc>
        <w:tc>
          <w:tcPr>
            <w:tcW w:w="528" w:type="pct"/>
            <w:tcBorders>
              <w:top w:val="single" w:sz="4" w:space="0" w:color="auto"/>
              <w:left w:val="nil"/>
              <w:bottom w:val="nil"/>
              <w:right w:val="nil"/>
            </w:tcBorders>
            <w:shd w:val="clear" w:color="000000" w:fill="D9D9D9"/>
            <w:noWrap/>
            <w:vAlign w:val="bottom"/>
            <w:hideMark/>
          </w:tcPr>
          <w:p w:rsidR="00451BA9" w:rsidRPr="00235F76" w:rsidRDefault="00451BA9" w:rsidP="00B33D20">
            <w:pPr>
              <w:spacing w:line="240" w:lineRule="auto"/>
              <w:rPr>
                <w:rFonts w:ascii="Calibri" w:eastAsia="Times New Roman" w:hAnsi="Calibri" w:cs="Times New Roman"/>
                <w:bCs/>
                <w:color w:val="000000"/>
                <w:sz w:val="20"/>
                <w:szCs w:val="20"/>
                <w:highlight w:val="yellow"/>
                <w:lang w:eastAsia="en-GB"/>
              </w:rPr>
            </w:pPr>
            <w:r w:rsidRPr="00235F76">
              <w:rPr>
                <w:rFonts w:ascii="Calibri" w:eastAsia="Times New Roman" w:hAnsi="Calibri" w:cs="Times New Roman"/>
                <w:bCs/>
                <w:color w:val="000000"/>
                <w:sz w:val="20"/>
                <w:szCs w:val="20"/>
                <w:highlight w:val="yellow"/>
                <w:lang w:eastAsia="en-GB"/>
              </w:rPr>
              <w:t xml:space="preserve"> $950,000</w:t>
            </w:r>
          </w:p>
        </w:tc>
        <w:tc>
          <w:tcPr>
            <w:tcW w:w="567" w:type="pct"/>
            <w:tcBorders>
              <w:top w:val="single" w:sz="4" w:space="0" w:color="auto"/>
              <w:left w:val="nil"/>
              <w:bottom w:val="nil"/>
              <w:right w:val="nil"/>
            </w:tcBorders>
          </w:tcPr>
          <w:p w:rsidR="00451BA9" w:rsidRPr="001763AE" w:rsidRDefault="00451BA9" w:rsidP="00B33D20">
            <w:pPr>
              <w:spacing w:line="240" w:lineRule="auto"/>
              <w:rPr>
                <w:rFonts w:ascii="Calibri" w:eastAsia="Times New Roman" w:hAnsi="Calibri" w:cs="Times New Roman"/>
                <w:color w:val="000000"/>
                <w:sz w:val="20"/>
                <w:szCs w:val="20"/>
                <w:lang w:eastAsia="en-GB"/>
              </w:rPr>
            </w:pPr>
          </w:p>
        </w:tc>
        <w:tc>
          <w:tcPr>
            <w:tcW w:w="302" w:type="pct"/>
            <w:tcBorders>
              <w:top w:val="single" w:sz="4" w:space="0" w:color="auto"/>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451BA9" w:rsidRPr="001763AE" w:rsidTr="0085137F">
        <w:trPr>
          <w:trHeight w:val="269"/>
        </w:trPr>
        <w:tc>
          <w:tcPr>
            <w:tcW w:w="647" w:type="pct"/>
            <w:tcBorders>
              <w:top w:val="nil"/>
              <w:left w:val="single" w:sz="4" w:space="0" w:color="auto"/>
              <w:bottom w:val="single" w:sz="4" w:space="0" w:color="auto"/>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p>
        </w:tc>
        <w:tc>
          <w:tcPr>
            <w:tcW w:w="615" w:type="pct"/>
            <w:gridSpan w:val="3"/>
            <w:tcBorders>
              <w:top w:val="nil"/>
              <w:left w:val="nil"/>
              <w:bottom w:val="single" w:sz="4" w:space="0" w:color="auto"/>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Actual</w:t>
            </w:r>
          </w:p>
        </w:tc>
        <w:tc>
          <w:tcPr>
            <w:tcW w:w="465" w:type="pct"/>
            <w:tcBorders>
              <w:top w:val="nil"/>
              <w:left w:val="nil"/>
              <w:bottom w:val="single" w:sz="4" w:space="0" w:color="auto"/>
              <w:right w:val="nil"/>
            </w:tcBorders>
            <w:shd w:val="clear" w:color="auto" w:fill="auto"/>
            <w:noWrap/>
            <w:vAlign w:val="bottom"/>
            <w:hideMark/>
          </w:tcPr>
          <w:p w:rsidR="00451BA9" w:rsidRPr="001763AE" w:rsidRDefault="00A12516"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xml:space="preserve"> $40,548</w:t>
            </w:r>
          </w:p>
        </w:tc>
        <w:tc>
          <w:tcPr>
            <w:tcW w:w="465" w:type="pct"/>
            <w:tcBorders>
              <w:top w:val="nil"/>
              <w:left w:val="nil"/>
              <w:bottom w:val="single" w:sz="4" w:space="0" w:color="auto"/>
              <w:right w:val="nil"/>
            </w:tcBorders>
            <w:shd w:val="clear" w:color="auto" w:fill="auto"/>
            <w:noWrap/>
            <w:vAlign w:val="bottom"/>
            <w:hideMark/>
          </w:tcPr>
          <w:p w:rsidR="00451BA9" w:rsidRPr="001763AE" w:rsidRDefault="00A12516"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xml:space="preserve"> $256,147</w:t>
            </w:r>
            <w:r w:rsidR="00451BA9" w:rsidRPr="001763AE">
              <w:rPr>
                <w:rFonts w:ascii="Calibri" w:eastAsia="Times New Roman" w:hAnsi="Calibri" w:cs="Times New Roman"/>
                <w:b/>
                <w:bCs/>
                <w:color w:val="000000"/>
                <w:sz w:val="20"/>
                <w:szCs w:val="20"/>
                <w:lang w:eastAsia="en-GB"/>
              </w:rPr>
              <w:t xml:space="preserve"> </w:t>
            </w:r>
          </w:p>
        </w:tc>
        <w:tc>
          <w:tcPr>
            <w:tcW w:w="467" w:type="pct"/>
            <w:tcBorders>
              <w:top w:val="nil"/>
              <w:left w:val="nil"/>
              <w:bottom w:val="single" w:sz="4" w:space="0" w:color="auto"/>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xml:space="preserve"> $235,284</w:t>
            </w:r>
          </w:p>
        </w:tc>
        <w:tc>
          <w:tcPr>
            <w:tcW w:w="465" w:type="pct"/>
            <w:tcBorders>
              <w:top w:val="nil"/>
              <w:left w:val="nil"/>
              <w:bottom w:val="single" w:sz="4" w:space="0" w:color="auto"/>
              <w:right w:val="nil"/>
            </w:tcBorders>
            <w:shd w:val="clear" w:color="auto" w:fill="auto"/>
            <w:noWrap/>
            <w:vAlign w:val="bottom"/>
            <w:hideMark/>
          </w:tcPr>
          <w:p w:rsidR="00451BA9" w:rsidRPr="001763AE" w:rsidRDefault="0085137F"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xml:space="preserve"> $303,273</w:t>
            </w:r>
          </w:p>
        </w:tc>
        <w:tc>
          <w:tcPr>
            <w:tcW w:w="479" w:type="pct"/>
            <w:tcBorders>
              <w:top w:val="nil"/>
              <w:left w:val="nil"/>
              <w:bottom w:val="single" w:sz="4" w:space="0" w:color="auto"/>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xml:space="preserve"> $33,882</w:t>
            </w:r>
          </w:p>
        </w:tc>
        <w:tc>
          <w:tcPr>
            <w:tcW w:w="528" w:type="pct"/>
            <w:tcBorders>
              <w:top w:val="nil"/>
              <w:left w:val="nil"/>
              <w:bottom w:val="single" w:sz="4" w:space="0" w:color="auto"/>
              <w:right w:val="nil"/>
            </w:tcBorders>
            <w:shd w:val="clear" w:color="auto" w:fill="auto"/>
            <w:noWrap/>
            <w:vAlign w:val="bottom"/>
            <w:hideMark/>
          </w:tcPr>
          <w:p w:rsidR="00451BA9" w:rsidRPr="00235F76" w:rsidRDefault="0085137F" w:rsidP="00B33D20">
            <w:pPr>
              <w:spacing w:line="240" w:lineRule="auto"/>
              <w:rPr>
                <w:rFonts w:ascii="Calibri" w:eastAsia="Times New Roman" w:hAnsi="Calibri" w:cs="Times New Roman"/>
                <w:b/>
                <w:bCs/>
                <w:color w:val="000000"/>
                <w:sz w:val="20"/>
                <w:szCs w:val="20"/>
                <w:highlight w:val="yellow"/>
                <w:lang w:eastAsia="en-GB"/>
              </w:rPr>
            </w:pPr>
            <w:r w:rsidRPr="00235F76">
              <w:rPr>
                <w:rFonts w:ascii="Calibri" w:eastAsia="Times New Roman" w:hAnsi="Calibri" w:cs="Times New Roman"/>
                <w:b/>
                <w:bCs/>
                <w:color w:val="000000"/>
                <w:sz w:val="20"/>
                <w:szCs w:val="20"/>
                <w:highlight w:val="yellow"/>
                <w:lang w:eastAsia="en-GB"/>
              </w:rPr>
              <w:t xml:space="preserve"> $869,135</w:t>
            </w:r>
          </w:p>
        </w:tc>
        <w:tc>
          <w:tcPr>
            <w:tcW w:w="567" w:type="pct"/>
            <w:tcBorders>
              <w:top w:val="nil"/>
              <w:left w:val="nil"/>
              <w:bottom w:val="single" w:sz="4" w:space="0" w:color="auto"/>
              <w:right w:val="nil"/>
            </w:tcBorders>
          </w:tcPr>
          <w:p w:rsidR="00451BA9" w:rsidRPr="001763AE" w:rsidRDefault="001752CF" w:rsidP="00B33D20">
            <w:pPr>
              <w:spacing w:line="240" w:lineRule="auto"/>
              <w:rPr>
                <w:rFonts w:ascii="Calibri" w:eastAsia="Times New Roman" w:hAnsi="Calibri" w:cs="Times New Roman"/>
                <w:b/>
                <w:color w:val="000000"/>
                <w:sz w:val="20"/>
                <w:szCs w:val="20"/>
                <w:lang w:eastAsia="en-GB"/>
              </w:rPr>
            </w:pPr>
            <w:r w:rsidRPr="001763AE">
              <w:rPr>
                <w:rFonts w:ascii="Calibri" w:eastAsia="Times New Roman" w:hAnsi="Calibri" w:cs="Times New Roman"/>
                <w:b/>
                <w:color w:val="000000"/>
                <w:sz w:val="20"/>
                <w:szCs w:val="20"/>
                <w:lang w:eastAsia="en-GB"/>
              </w:rPr>
              <w:t>$950,000</w:t>
            </w:r>
          </w:p>
        </w:tc>
        <w:tc>
          <w:tcPr>
            <w:tcW w:w="302" w:type="pct"/>
            <w:tcBorders>
              <w:top w:val="nil"/>
              <w:left w:val="nil"/>
              <w:bottom w:val="single" w:sz="4" w:space="0" w:color="auto"/>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451BA9" w:rsidRPr="001763AE" w:rsidTr="0085137F">
        <w:trPr>
          <w:trHeight w:val="20"/>
        </w:trPr>
        <w:tc>
          <w:tcPr>
            <w:tcW w:w="647" w:type="pct"/>
            <w:tcBorders>
              <w:top w:val="single" w:sz="4" w:space="0" w:color="auto"/>
              <w:left w:val="single" w:sz="4" w:space="0" w:color="auto"/>
              <w:bottom w:val="single" w:sz="4" w:space="0" w:color="auto"/>
            </w:tcBorders>
            <w:shd w:val="clear" w:color="auto" w:fill="7F7F7F" w:themeFill="text1" w:themeFillTint="80"/>
            <w:noWrap/>
            <w:vAlign w:val="bottom"/>
            <w:hideMark/>
          </w:tcPr>
          <w:p w:rsidR="00451BA9" w:rsidRPr="001763AE" w:rsidRDefault="00451BA9" w:rsidP="00B33D20">
            <w:pPr>
              <w:spacing w:line="240" w:lineRule="auto"/>
              <w:rPr>
                <w:rFonts w:ascii="Calibri" w:eastAsia="Times New Roman" w:hAnsi="Calibri" w:cs="Times New Roman"/>
                <w:b/>
                <w:bCs/>
                <w:color w:val="FFFFFF" w:themeColor="background1"/>
                <w:lang w:eastAsia="en-GB"/>
              </w:rPr>
            </w:pPr>
            <w:r w:rsidRPr="001763AE">
              <w:rPr>
                <w:rFonts w:ascii="Calibri" w:eastAsia="Times New Roman" w:hAnsi="Calibri" w:cs="Times New Roman"/>
                <w:b/>
                <w:bCs/>
                <w:color w:val="FFFFFF" w:themeColor="background1"/>
                <w:lang w:eastAsia="en-GB"/>
              </w:rPr>
              <w:t>OTHER FUNDS</w:t>
            </w:r>
          </w:p>
        </w:tc>
        <w:tc>
          <w:tcPr>
            <w:tcW w:w="615" w:type="pct"/>
            <w:gridSpan w:val="3"/>
            <w:tcBorders>
              <w:top w:val="single" w:sz="4" w:space="0" w:color="auto"/>
              <w:bottom w:val="single" w:sz="4" w:space="0" w:color="auto"/>
              <w:right w:val="single" w:sz="4" w:space="0" w:color="auto"/>
            </w:tcBorders>
            <w:shd w:val="clear" w:color="auto" w:fill="7F7F7F" w:themeFill="text1" w:themeFillTint="80"/>
            <w:noWrap/>
            <w:vAlign w:val="bottom"/>
            <w:hideMark/>
          </w:tcPr>
          <w:p w:rsidR="00451BA9" w:rsidRPr="001763AE" w:rsidRDefault="00451BA9" w:rsidP="00750194">
            <w:pPr>
              <w:spacing w:line="240" w:lineRule="auto"/>
              <w:rPr>
                <w:rFonts w:ascii="Calibri" w:eastAsia="Times New Roman" w:hAnsi="Calibri" w:cs="Times New Roman"/>
                <w:b/>
                <w:color w:val="FFFFFF" w:themeColor="background1"/>
                <w:lang w:eastAsia="en-GB"/>
              </w:rPr>
            </w:pPr>
          </w:p>
        </w:tc>
        <w:tc>
          <w:tcPr>
            <w:tcW w:w="465" w:type="pct"/>
            <w:tcBorders>
              <w:top w:val="single" w:sz="4" w:space="0" w:color="auto"/>
              <w:left w:val="nil"/>
              <w:bottom w:val="nil"/>
              <w:right w:val="single" w:sz="4" w:space="0" w:color="auto"/>
            </w:tcBorders>
            <w:shd w:val="clear" w:color="auto" w:fill="7F7F7F" w:themeFill="text1" w:themeFillTint="80"/>
            <w:noWrap/>
            <w:vAlign w:val="bottom"/>
            <w:hideMark/>
          </w:tcPr>
          <w:p w:rsidR="00451BA9" w:rsidRPr="001763AE" w:rsidRDefault="00451BA9" w:rsidP="00E517D9">
            <w:pPr>
              <w:spacing w:line="240" w:lineRule="auto"/>
              <w:jc w:val="center"/>
              <w:rPr>
                <w:rFonts w:ascii="Calibri" w:eastAsia="Times New Roman" w:hAnsi="Calibri" w:cs="Times New Roman"/>
                <w:b/>
                <w:color w:val="FFFFFF" w:themeColor="background1"/>
                <w:lang w:eastAsia="en-GB"/>
              </w:rPr>
            </w:pPr>
            <w:r w:rsidRPr="001763AE">
              <w:rPr>
                <w:rFonts w:ascii="Calibri" w:eastAsia="Times New Roman" w:hAnsi="Calibri" w:cs="Times New Roman"/>
                <w:b/>
                <w:color w:val="FFFFFF" w:themeColor="background1"/>
                <w:lang w:eastAsia="en-GB"/>
              </w:rPr>
              <w:t>2010</w:t>
            </w:r>
          </w:p>
        </w:tc>
        <w:tc>
          <w:tcPr>
            <w:tcW w:w="465" w:type="pct"/>
            <w:tcBorders>
              <w:top w:val="single" w:sz="4" w:space="0" w:color="auto"/>
              <w:left w:val="nil"/>
              <w:bottom w:val="nil"/>
              <w:right w:val="single" w:sz="4" w:space="0" w:color="auto"/>
            </w:tcBorders>
            <w:shd w:val="clear" w:color="auto" w:fill="7F7F7F" w:themeFill="text1" w:themeFillTint="80"/>
            <w:noWrap/>
            <w:vAlign w:val="bottom"/>
            <w:hideMark/>
          </w:tcPr>
          <w:p w:rsidR="00451BA9" w:rsidRPr="001763AE" w:rsidRDefault="00451BA9" w:rsidP="00E517D9">
            <w:pPr>
              <w:spacing w:line="240" w:lineRule="auto"/>
              <w:jc w:val="center"/>
              <w:rPr>
                <w:rFonts w:ascii="Calibri" w:eastAsia="Times New Roman" w:hAnsi="Calibri" w:cs="Times New Roman"/>
                <w:b/>
                <w:color w:val="FFFFFF" w:themeColor="background1"/>
                <w:lang w:eastAsia="en-GB"/>
              </w:rPr>
            </w:pPr>
            <w:r w:rsidRPr="001763AE">
              <w:rPr>
                <w:rFonts w:ascii="Calibri" w:eastAsia="Times New Roman" w:hAnsi="Calibri" w:cs="Times New Roman"/>
                <w:b/>
                <w:color w:val="FFFFFF" w:themeColor="background1"/>
                <w:lang w:eastAsia="en-GB"/>
              </w:rPr>
              <w:t>2011</w:t>
            </w:r>
          </w:p>
        </w:tc>
        <w:tc>
          <w:tcPr>
            <w:tcW w:w="467" w:type="pct"/>
            <w:tcBorders>
              <w:top w:val="single" w:sz="4" w:space="0" w:color="auto"/>
              <w:left w:val="nil"/>
              <w:bottom w:val="nil"/>
              <w:right w:val="single" w:sz="4" w:space="0" w:color="auto"/>
            </w:tcBorders>
            <w:shd w:val="clear" w:color="auto" w:fill="7F7F7F" w:themeFill="text1" w:themeFillTint="80"/>
            <w:noWrap/>
            <w:vAlign w:val="bottom"/>
            <w:hideMark/>
          </w:tcPr>
          <w:p w:rsidR="00451BA9" w:rsidRPr="001763AE" w:rsidRDefault="00451BA9" w:rsidP="00E517D9">
            <w:pPr>
              <w:spacing w:line="240" w:lineRule="auto"/>
              <w:jc w:val="center"/>
              <w:rPr>
                <w:rFonts w:ascii="Calibri" w:eastAsia="Times New Roman" w:hAnsi="Calibri" w:cs="Times New Roman"/>
                <w:b/>
                <w:color w:val="FFFFFF" w:themeColor="background1"/>
                <w:lang w:eastAsia="en-GB"/>
              </w:rPr>
            </w:pPr>
            <w:r w:rsidRPr="001763AE">
              <w:rPr>
                <w:rFonts w:ascii="Calibri" w:eastAsia="Times New Roman" w:hAnsi="Calibri" w:cs="Times New Roman"/>
                <w:b/>
                <w:color w:val="FFFFFF" w:themeColor="background1"/>
                <w:lang w:eastAsia="en-GB"/>
              </w:rPr>
              <w:t>2012</w:t>
            </w:r>
          </w:p>
        </w:tc>
        <w:tc>
          <w:tcPr>
            <w:tcW w:w="465" w:type="pct"/>
            <w:tcBorders>
              <w:top w:val="single" w:sz="4" w:space="0" w:color="auto"/>
              <w:left w:val="nil"/>
              <w:bottom w:val="nil"/>
              <w:right w:val="single" w:sz="4" w:space="0" w:color="auto"/>
            </w:tcBorders>
            <w:shd w:val="clear" w:color="auto" w:fill="7F7F7F" w:themeFill="text1" w:themeFillTint="80"/>
            <w:noWrap/>
            <w:vAlign w:val="bottom"/>
            <w:hideMark/>
          </w:tcPr>
          <w:p w:rsidR="00451BA9" w:rsidRPr="001763AE" w:rsidRDefault="00451BA9" w:rsidP="00E517D9">
            <w:pPr>
              <w:spacing w:line="240" w:lineRule="auto"/>
              <w:jc w:val="center"/>
              <w:rPr>
                <w:rFonts w:ascii="Calibri" w:eastAsia="Times New Roman" w:hAnsi="Calibri" w:cs="Times New Roman"/>
                <w:b/>
                <w:color w:val="FFFFFF" w:themeColor="background1"/>
                <w:lang w:eastAsia="en-GB"/>
              </w:rPr>
            </w:pPr>
            <w:r w:rsidRPr="001763AE">
              <w:rPr>
                <w:rFonts w:ascii="Calibri" w:eastAsia="Times New Roman" w:hAnsi="Calibri" w:cs="Times New Roman"/>
                <w:b/>
                <w:color w:val="FFFFFF" w:themeColor="background1"/>
                <w:lang w:eastAsia="en-GB"/>
              </w:rPr>
              <w:t>2013</w:t>
            </w:r>
          </w:p>
        </w:tc>
        <w:tc>
          <w:tcPr>
            <w:tcW w:w="479" w:type="pct"/>
            <w:tcBorders>
              <w:top w:val="single" w:sz="4" w:space="0" w:color="auto"/>
              <w:left w:val="nil"/>
              <w:bottom w:val="nil"/>
              <w:right w:val="nil"/>
            </w:tcBorders>
            <w:shd w:val="clear" w:color="auto" w:fill="7F7F7F" w:themeFill="text1" w:themeFillTint="80"/>
            <w:noWrap/>
            <w:vAlign w:val="bottom"/>
            <w:hideMark/>
          </w:tcPr>
          <w:p w:rsidR="00451BA9" w:rsidRPr="001763AE" w:rsidRDefault="00451BA9" w:rsidP="00E517D9">
            <w:pPr>
              <w:spacing w:line="240" w:lineRule="auto"/>
              <w:jc w:val="center"/>
              <w:rPr>
                <w:rFonts w:ascii="Calibri" w:eastAsia="Times New Roman" w:hAnsi="Calibri" w:cs="Times New Roman"/>
                <w:b/>
                <w:color w:val="FFFFFF" w:themeColor="background1"/>
                <w:lang w:eastAsia="en-GB"/>
              </w:rPr>
            </w:pPr>
            <w:r w:rsidRPr="001763AE">
              <w:rPr>
                <w:rFonts w:ascii="Calibri" w:eastAsia="Times New Roman" w:hAnsi="Calibri" w:cs="Times New Roman"/>
                <w:b/>
                <w:color w:val="FFFFFF" w:themeColor="background1"/>
                <w:lang w:eastAsia="en-GB"/>
              </w:rPr>
              <w:t>2014</w:t>
            </w:r>
          </w:p>
        </w:tc>
        <w:tc>
          <w:tcPr>
            <w:tcW w:w="528" w:type="pct"/>
            <w:tcBorders>
              <w:top w:val="single" w:sz="4" w:space="0" w:color="auto"/>
              <w:left w:val="single" w:sz="4" w:space="0" w:color="auto"/>
              <w:bottom w:val="nil"/>
              <w:right w:val="single" w:sz="4" w:space="0" w:color="auto"/>
            </w:tcBorders>
            <w:shd w:val="clear" w:color="auto" w:fill="7F7F7F" w:themeFill="text1" w:themeFillTint="80"/>
            <w:noWrap/>
            <w:vAlign w:val="bottom"/>
            <w:hideMark/>
          </w:tcPr>
          <w:p w:rsidR="00451BA9" w:rsidRPr="001763AE" w:rsidRDefault="00451BA9" w:rsidP="00E517D9">
            <w:pPr>
              <w:spacing w:line="240" w:lineRule="auto"/>
              <w:jc w:val="center"/>
              <w:rPr>
                <w:rFonts w:ascii="Calibri" w:eastAsia="Times New Roman" w:hAnsi="Calibri" w:cs="Times New Roman"/>
                <w:b/>
                <w:color w:val="FFFFFF" w:themeColor="background1"/>
                <w:lang w:eastAsia="en-GB"/>
              </w:rPr>
            </w:pPr>
            <w:r w:rsidRPr="001763AE">
              <w:rPr>
                <w:rFonts w:ascii="Calibri" w:eastAsia="Times New Roman" w:hAnsi="Calibri" w:cs="Times New Roman"/>
                <w:b/>
                <w:color w:val="FFFFFF" w:themeColor="background1"/>
                <w:lang w:eastAsia="en-GB"/>
              </w:rPr>
              <w:t>Total</w:t>
            </w:r>
          </w:p>
        </w:tc>
        <w:tc>
          <w:tcPr>
            <w:tcW w:w="567" w:type="pct"/>
            <w:tcBorders>
              <w:top w:val="single" w:sz="4" w:space="0" w:color="auto"/>
              <w:left w:val="nil"/>
              <w:bottom w:val="nil"/>
              <w:right w:val="nil"/>
            </w:tcBorders>
            <w:shd w:val="clear" w:color="auto" w:fill="7F7F7F" w:themeFill="text1" w:themeFillTint="80"/>
          </w:tcPr>
          <w:p w:rsidR="00451BA9" w:rsidRPr="001763AE" w:rsidRDefault="00451BA9" w:rsidP="00B33D20">
            <w:pPr>
              <w:spacing w:line="240" w:lineRule="auto"/>
              <w:rPr>
                <w:rFonts w:ascii="Calibri" w:eastAsia="Times New Roman" w:hAnsi="Calibri" w:cs="Times New Roman"/>
                <w:b/>
                <w:color w:val="FFFFFF" w:themeColor="background1"/>
                <w:lang w:eastAsia="en-GB"/>
              </w:rPr>
            </w:pPr>
          </w:p>
        </w:tc>
        <w:tc>
          <w:tcPr>
            <w:tcW w:w="302" w:type="pct"/>
            <w:tcBorders>
              <w:top w:val="single" w:sz="4" w:space="0" w:color="auto"/>
              <w:left w:val="nil"/>
              <w:bottom w:val="nil"/>
              <w:right w:val="single" w:sz="4" w:space="0" w:color="auto"/>
            </w:tcBorders>
            <w:shd w:val="clear" w:color="auto" w:fill="7F7F7F" w:themeFill="text1" w:themeFillTint="80"/>
            <w:noWrap/>
            <w:vAlign w:val="bottom"/>
            <w:hideMark/>
          </w:tcPr>
          <w:p w:rsidR="00451BA9" w:rsidRPr="001763AE" w:rsidRDefault="00451BA9" w:rsidP="00B33D20">
            <w:pPr>
              <w:spacing w:line="240" w:lineRule="auto"/>
              <w:rPr>
                <w:rFonts w:ascii="Calibri" w:eastAsia="Times New Roman" w:hAnsi="Calibri" w:cs="Times New Roman"/>
                <w:b/>
                <w:color w:val="FFFFFF" w:themeColor="background1"/>
                <w:lang w:eastAsia="en-GB"/>
              </w:rPr>
            </w:pPr>
            <w:r w:rsidRPr="001763AE">
              <w:rPr>
                <w:rFonts w:ascii="Calibri" w:eastAsia="Times New Roman" w:hAnsi="Calibri" w:cs="Times New Roman"/>
                <w:b/>
                <w:color w:val="FFFFFF" w:themeColor="background1"/>
                <w:lang w:eastAsia="en-GB"/>
              </w:rPr>
              <w:t> </w:t>
            </w:r>
          </w:p>
        </w:tc>
      </w:tr>
      <w:tr w:rsidR="00A12516" w:rsidRPr="001763AE" w:rsidTr="0085137F">
        <w:trPr>
          <w:trHeight w:val="20"/>
        </w:trPr>
        <w:tc>
          <w:tcPr>
            <w:tcW w:w="647" w:type="pct"/>
            <w:tcBorders>
              <w:top w:val="single" w:sz="4" w:space="0" w:color="auto"/>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UNDP</w:t>
            </w:r>
          </w:p>
        </w:tc>
        <w:tc>
          <w:tcPr>
            <w:tcW w:w="369" w:type="pct"/>
            <w:gridSpan w:val="2"/>
            <w:tcBorders>
              <w:top w:val="single" w:sz="4" w:space="0" w:color="auto"/>
              <w:left w:val="nil"/>
              <w:bottom w:val="nil"/>
              <w:right w:val="nil"/>
            </w:tcBorders>
            <w:shd w:val="clear" w:color="000000" w:fill="D9D9D9"/>
            <w:noWrap/>
            <w:vAlign w:val="bottom"/>
            <w:hideMark/>
          </w:tcPr>
          <w:p w:rsidR="00451BA9" w:rsidRPr="001763AE" w:rsidRDefault="001752CF"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Planned</w:t>
            </w:r>
          </w:p>
        </w:tc>
        <w:tc>
          <w:tcPr>
            <w:tcW w:w="246"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$5,000 </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$5,000</w:t>
            </w:r>
          </w:p>
        </w:tc>
        <w:tc>
          <w:tcPr>
            <w:tcW w:w="467"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$5,000 </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$5,000 </w:t>
            </w:r>
          </w:p>
        </w:tc>
        <w:tc>
          <w:tcPr>
            <w:tcW w:w="479"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w:t>
            </w:r>
            <w:r w:rsidR="0025256D">
              <w:rPr>
                <w:rFonts w:ascii="Calibri" w:eastAsia="Times New Roman" w:hAnsi="Calibri" w:cs="Times New Roman"/>
                <w:color w:val="000000"/>
                <w:sz w:val="20"/>
                <w:szCs w:val="20"/>
                <w:lang w:eastAsia="en-GB"/>
              </w:rPr>
              <w:t xml:space="preserve"> </w:t>
            </w:r>
          </w:p>
        </w:tc>
        <w:tc>
          <w:tcPr>
            <w:tcW w:w="528"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$20,000</w:t>
            </w:r>
          </w:p>
        </w:tc>
        <w:tc>
          <w:tcPr>
            <w:tcW w:w="567" w:type="pct"/>
            <w:tcBorders>
              <w:top w:val="single" w:sz="4" w:space="0" w:color="auto"/>
              <w:left w:val="nil"/>
              <w:bottom w:val="nil"/>
              <w:right w:val="nil"/>
            </w:tcBorders>
          </w:tcPr>
          <w:p w:rsidR="00451BA9" w:rsidRPr="001763AE" w:rsidRDefault="00451BA9" w:rsidP="00B33D20">
            <w:pPr>
              <w:spacing w:line="240" w:lineRule="auto"/>
              <w:rPr>
                <w:rFonts w:ascii="Calibri" w:eastAsia="Times New Roman" w:hAnsi="Calibri" w:cs="Times New Roman"/>
                <w:color w:val="000000"/>
                <w:sz w:val="20"/>
                <w:szCs w:val="20"/>
                <w:lang w:eastAsia="en-GB"/>
              </w:rPr>
            </w:pPr>
          </w:p>
        </w:tc>
        <w:tc>
          <w:tcPr>
            <w:tcW w:w="302" w:type="pct"/>
            <w:tcBorders>
              <w:top w:val="single" w:sz="4" w:space="0" w:color="auto"/>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451BA9" w:rsidRPr="001763AE" w:rsidTr="0085137F">
        <w:trPr>
          <w:trHeight w:val="20"/>
        </w:trPr>
        <w:tc>
          <w:tcPr>
            <w:tcW w:w="647" w:type="pct"/>
            <w:tcBorders>
              <w:top w:val="nil"/>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CASH</w:t>
            </w:r>
          </w:p>
        </w:tc>
        <w:tc>
          <w:tcPr>
            <w:tcW w:w="615" w:type="pct"/>
            <w:gridSpan w:val="3"/>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Actual</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w:t>
            </w:r>
            <w:r w:rsidR="0025256D">
              <w:rPr>
                <w:rFonts w:ascii="Calibri" w:eastAsia="Times New Roman" w:hAnsi="Calibri" w:cs="Times New Roman"/>
                <w:i/>
                <w:iCs/>
                <w:color w:val="000000"/>
                <w:sz w:val="20"/>
                <w:szCs w:val="20"/>
                <w:lang w:eastAsia="en-GB"/>
              </w:rPr>
              <w:t xml:space="preserve"> </w:t>
            </w:r>
          </w:p>
        </w:tc>
        <w:tc>
          <w:tcPr>
            <w:tcW w:w="465" w:type="pct"/>
            <w:tcBorders>
              <w:top w:val="nil"/>
              <w:left w:val="nil"/>
              <w:bottom w:val="nil"/>
              <w:right w:val="nil"/>
            </w:tcBorders>
            <w:shd w:val="clear" w:color="auto" w:fill="auto"/>
            <w:noWrap/>
            <w:vAlign w:val="bottom"/>
            <w:hideMark/>
          </w:tcPr>
          <w:p w:rsidR="00451BA9" w:rsidRPr="001763AE" w:rsidRDefault="003C647A"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$17,606</w:t>
            </w:r>
          </w:p>
        </w:tc>
        <w:tc>
          <w:tcPr>
            <w:tcW w:w="467"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$1,700</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w:t>
            </w:r>
            <w:r w:rsidR="0025256D">
              <w:rPr>
                <w:rFonts w:ascii="Calibri" w:eastAsia="Times New Roman" w:hAnsi="Calibri" w:cs="Times New Roman"/>
                <w:i/>
                <w:iCs/>
                <w:color w:val="000000"/>
                <w:sz w:val="20"/>
                <w:szCs w:val="20"/>
                <w:lang w:eastAsia="en-GB"/>
              </w:rPr>
              <w:t xml:space="preserve"> </w:t>
            </w:r>
          </w:p>
        </w:tc>
        <w:tc>
          <w:tcPr>
            <w:tcW w:w="479"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p>
        </w:tc>
        <w:tc>
          <w:tcPr>
            <w:tcW w:w="528" w:type="pct"/>
            <w:tcBorders>
              <w:top w:val="nil"/>
              <w:left w:val="nil"/>
              <w:bottom w:val="nil"/>
              <w:right w:val="nil"/>
            </w:tcBorders>
            <w:shd w:val="clear" w:color="auto" w:fill="auto"/>
            <w:noWrap/>
            <w:vAlign w:val="bottom"/>
            <w:hideMark/>
          </w:tcPr>
          <w:p w:rsidR="00451BA9" w:rsidRPr="001763AE" w:rsidRDefault="0085137F"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$19,306</w:t>
            </w:r>
            <w:r w:rsidR="00451BA9" w:rsidRPr="001763AE">
              <w:rPr>
                <w:rFonts w:ascii="Calibri" w:eastAsia="Times New Roman" w:hAnsi="Calibri" w:cs="Times New Roman"/>
                <w:i/>
                <w:iCs/>
                <w:color w:val="000000"/>
                <w:sz w:val="20"/>
                <w:szCs w:val="20"/>
                <w:lang w:eastAsia="en-GB"/>
              </w:rPr>
              <w:t xml:space="preserve"> </w:t>
            </w:r>
          </w:p>
        </w:tc>
        <w:tc>
          <w:tcPr>
            <w:tcW w:w="567" w:type="pct"/>
            <w:tcBorders>
              <w:top w:val="nil"/>
              <w:left w:val="nil"/>
              <w:bottom w:val="nil"/>
              <w:right w:val="nil"/>
            </w:tcBorders>
          </w:tcPr>
          <w:p w:rsidR="00451BA9" w:rsidRPr="001763AE" w:rsidRDefault="001752CF" w:rsidP="00B33D20">
            <w:pPr>
              <w:spacing w:line="240" w:lineRule="auto"/>
              <w:rPr>
                <w:rFonts w:ascii="Calibri" w:eastAsia="Times New Roman" w:hAnsi="Calibri" w:cs="Times New Roman"/>
                <w:b/>
                <w:color w:val="000000"/>
                <w:sz w:val="20"/>
                <w:szCs w:val="20"/>
                <w:lang w:eastAsia="en-GB"/>
              </w:rPr>
            </w:pPr>
            <w:r w:rsidRPr="001763AE">
              <w:rPr>
                <w:rFonts w:ascii="Calibri" w:eastAsia="Times New Roman" w:hAnsi="Calibri" w:cs="Times New Roman"/>
                <w:b/>
                <w:color w:val="000000"/>
                <w:sz w:val="20"/>
                <w:szCs w:val="20"/>
                <w:lang w:eastAsia="en-GB"/>
              </w:rPr>
              <w:t>$20,000</w:t>
            </w:r>
          </w:p>
        </w:tc>
        <w:tc>
          <w:tcPr>
            <w:tcW w:w="302" w:type="pct"/>
            <w:tcBorders>
              <w:top w:val="nil"/>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451BA9" w:rsidRPr="001763AE" w:rsidTr="0085137F">
        <w:trPr>
          <w:trHeight w:val="20"/>
        </w:trPr>
        <w:tc>
          <w:tcPr>
            <w:tcW w:w="647" w:type="pct"/>
            <w:tcBorders>
              <w:top w:val="single" w:sz="4" w:space="0" w:color="auto"/>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NFA (In kind)</w:t>
            </w:r>
          </w:p>
        </w:tc>
        <w:tc>
          <w:tcPr>
            <w:tcW w:w="615" w:type="pct"/>
            <w:gridSpan w:val="3"/>
            <w:tcBorders>
              <w:top w:val="single" w:sz="4" w:space="0" w:color="auto"/>
              <w:left w:val="nil"/>
              <w:bottom w:val="nil"/>
              <w:right w:val="nil"/>
            </w:tcBorders>
            <w:shd w:val="clear" w:color="000000" w:fill="D9D9D9"/>
            <w:noWrap/>
            <w:vAlign w:val="bottom"/>
            <w:hideMark/>
          </w:tcPr>
          <w:p w:rsidR="00451BA9" w:rsidRPr="001763AE" w:rsidRDefault="001752CF"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Planned</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$1,161,685</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$1,161,685</w:t>
            </w:r>
          </w:p>
        </w:tc>
        <w:tc>
          <w:tcPr>
            <w:tcW w:w="467"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$1,161,685</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$1,161,686</w:t>
            </w:r>
          </w:p>
        </w:tc>
        <w:tc>
          <w:tcPr>
            <w:tcW w:w="479"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w:t>
            </w:r>
            <w:r w:rsidR="0025256D">
              <w:rPr>
                <w:rFonts w:ascii="Calibri" w:eastAsia="Times New Roman" w:hAnsi="Calibri" w:cs="Times New Roman"/>
                <w:color w:val="000000"/>
                <w:sz w:val="20"/>
                <w:szCs w:val="20"/>
                <w:lang w:eastAsia="en-GB"/>
              </w:rPr>
              <w:t xml:space="preserve"> </w:t>
            </w:r>
          </w:p>
        </w:tc>
        <w:tc>
          <w:tcPr>
            <w:tcW w:w="528" w:type="pct"/>
            <w:tcBorders>
              <w:top w:val="single" w:sz="4" w:space="0" w:color="auto"/>
              <w:left w:val="nil"/>
              <w:bottom w:val="nil"/>
              <w:right w:val="nil"/>
            </w:tcBorders>
            <w:shd w:val="clear" w:color="000000" w:fill="D9D9D9"/>
            <w:noWrap/>
            <w:vAlign w:val="bottom"/>
            <w:hideMark/>
          </w:tcPr>
          <w:p w:rsidR="00451BA9" w:rsidRPr="001763AE" w:rsidRDefault="00451BA9" w:rsidP="0085137F">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$4,646,741</w:t>
            </w:r>
          </w:p>
        </w:tc>
        <w:tc>
          <w:tcPr>
            <w:tcW w:w="567" w:type="pct"/>
            <w:tcBorders>
              <w:top w:val="single" w:sz="4" w:space="0" w:color="auto"/>
              <w:left w:val="nil"/>
              <w:bottom w:val="nil"/>
              <w:right w:val="nil"/>
            </w:tcBorders>
          </w:tcPr>
          <w:p w:rsidR="00451BA9" w:rsidRPr="001763AE" w:rsidRDefault="00451BA9" w:rsidP="00B33D20">
            <w:pPr>
              <w:spacing w:line="240" w:lineRule="auto"/>
              <w:rPr>
                <w:rFonts w:ascii="Calibri" w:eastAsia="Times New Roman" w:hAnsi="Calibri" w:cs="Times New Roman"/>
                <w:color w:val="000000"/>
                <w:sz w:val="20"/>
                <w:szCs w:val="20"/>
                <w:lang w:eastAsia="en-GB"/>
              </w:rPr>
            </w:pPr>
          </w:p>
        </w:tc>
        <w:tc>
          <w:tcPr>
            <w:tcW w:w="302" w:type="pct"/>
            <w:tcBorders>
              <w:top w:val="single" w:sz="4" w:space="0" w:color="auto"/>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451BA9" w:rsidRPr="001763AE" w:rsidTr="0085137F">
        <w:trPr>
          <w:trHeight w:val="20"/>
        </w:trPr>
        <w:tc>
          <w:tcPr>
            <w:tcW w:w="647" w:type="pct"/>
            <w:tcBorders>
              <w:top w:val="nil"/>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p>
        </w:tc>
        <w:tc>
          <w:tcPr>
            <w:tcW w:w="615" w:type="pct"/>
            <w:gridSpan w:val="3"/>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Actual</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w:t>
            </w:r>
            <w:r w:rsidR="0025256D">
              <w:rPr>
                <w:rFonts w:ascii="Calibri" w:eastAsia="Times New Roman" w:hAnsi="Calibri" w:cs="Times New Roman"/>
                <w:i/>
                <w:iCs/>
                <w:color w:val="000000"/>
                <w:sz w:val="20"/>
                <w:szCs w:val="20"/>
                <w:lang w:eastAsia="en-GB"/>
              </w:rPr>
              <w:t xml:space="preserve"> </w:t>
            </w:r>
          </w:p>
        </w:tc>
        <w:tc>
          <w:tcPr>
            <w:tcW w:w="465" w:type="pct"/>
            <w:tcBorders>
              <w:top w:val="nil"/>
              <w:left w:val="nil"/>
              <w:bottom w:val="nil"/>
              <w:right w:val="nil"/>
            </w:tcBorders>
            <w:shd w:val="clear" w:color="auto" w:fill="auto"/>
            <w:noWrap/>
            <w:vAlign w:val="bottom"/>
            <w:hideMark/>
          </w:tcPr>
          <w:p w:rsidR="00451BA9" w:rsidRPr="001763AE" w:rsidRDefault="00451BA9" w:rsidP="0085137F">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$1,720,000 </w:t>
            </w:r>
          </w:p>
        </w:tc>
        <w:tc>
          <w:tcPr>
            <w:tcW w:w="467"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$1,720,000</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$600,000. 00 </w:t>
            </w:r>
          </w:p>
        </w:tc>
        <w:tc>
          <w:tcPr>
            <w:tcW w:w="479"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$710,000</w:t>
            </w:r>
          </w:p>
        </w:tc>
        <w:tc>
          <w:tcPr>
            <w:tcW w:w="528"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$4,750,000 </w:t>
            </w:r>
          </w:p>
        </w:tc>
        <w:tc>
          <w:tcPr>
            <w:tcW w:w="567" w:type="pct"/>
            <w:tcBorders>
              <w:top w:val="nil"/>
              <w:left w:val="nil"/>
              <w:bottom w:val="nil"/>
              <w:right w:val="nil"/>
            </w:tcBorders>
          </w:tcPr>
          <w:p w:rsidR="00451BA9" w:rsidRPr="001763AE" w:rsidRDefault="001752CF"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i/>
                <w:iCs/>
                <w:color w:val="000000"/>
                <w:sz w:val="20"/>
                <w:szCs w:val="20"/>
                <w:lang w:eastAsia="en-GB"/>
              </w:rPr>
              <w:t>$4,750,000</w:t>
            </w:r>
          </w:p>
        </w:tc>
        <w:tc>
          <w:tcPr>
            <w:tcW w:w="302" w:type="pct"/>
            <w:tcBorders>
              <w:top w:val="nil"/>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451BA9" w:rsidRPr="001763AE" w:rsidTr="0085137F">
        <w:trPr>
          <w:trHeight w:val="20"/>
        </w:trPr>
        <w:tc>
          <w:tcPr>
            <w:tcW w:w="647" w:type="pct"/>
            <w:tcBorders>
              <w:top w:val="single" w:sz="4" w:space="0" w:color="auto"/>
              <w:left w:val="single" w:sz="4" w:space="0" w:color="auto"/>
              <w:bottom w:val="nil"/>
              <w:right w:val="nil"/>
            </w:tcBorders>
            <w:shd w:val="clear" w:color="auto" w:fill="auto"/>
            <w:noWrap/>
            <w:vAlign w:val="bottom"/>
            <w:hideMark/>
          </w:tcPr>
          <w:p w:rsidR="00451BA9" w:rsidRPr="001763AE" w:rsidRDefault="00451BA9" w:rsidP="00E517D9">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WWF (In kind)</w:t>
            </w:r>
          </w:p>
        </w:tc>
        <w:tc>
          <w:tcPr>
            <w:tcW w:w="615" w:type="pct"/>
            <w:gridSpan w:val="3"/>
            <w:tcBorders>
              <w:top w:val="single" w:sz="4" w:space="0" w:color="auto"/>
              <w:left w:val="nil"/>
              <w:bottom w:val="nil"/>
              <w:right w:val="nil"/>
            </w:tcBorders>
            <w:shd w:val="clear" w:color="000000" w:fill="D9D9D9"/>
            <w:noWrap/>
            <w:vAlign w:val="bottom"/>
            <w:hideMark/>
          </w:tcPr>
          <w:p w:rsidR="00451BA9" w:rsidRPr="001763AE" w:rsidRDefault="001752CF"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Planned</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$20,000 </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$20,000 </w:t>
            </w:r>
          </w:p>
        </w:tc>
        <w:tc>
          <w:tcPr>
            <w:tcW w:w="467"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$7,000. 00 </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$3,300</w:t>
            </w:r>
          </w:p>
        </w:tc>
        <w:tc>
          <w:tcPr>
            <w:tcW w:w="479"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w:t>
            </w:r>
            <w:r w:rsidR="0025256D">
              <w:rPr>
                <w:rFonts w:ascii="Calibri" w:eastAsia="Times New Roman" w:hAnsi="Calibri" w:cs="Times New Roman"/>
                <w:color w:val="000000"/>
                <w:sz w:val="20"/>
                <w:szCs w:val="20"/>
                <w:lang w:eastAsia="en-GB"/>
              </w:rPr>
              <w:t xml:space="preserve"> </w:t>
            </w:r>
          </w:p>
        </w:tc>
        <w:tc>
          <w:tcPr>
            <w:tcW w:w="528"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$50,300</w:t>
            </w:r>
          </w:p>
        </w:tc>
        <w:tc>
          <w:tcPr>
            <w:tcW w:w="567" w:type="pct"/>
            <w:tcBorders>
              <w:top w:val="single" w:sz="4" w:space="0" w:color="auto"/>
              <w:left w:val="nil"/>
              <w:bottom w:val="nil"/>
              <w:right w:val="nil"/>
            </w:tcBorders>
          </w:tcPr>
          <w:p w:rsidR="00451BA9" w:rsidRPr="001763AE" w:rsidRDefault="00451BA9" w:rsidP="00B33D20">
            <w:pPr>
              <w:spacing w:line="240" w:lineRule="auto"/>
              <w:rPr>
                <w:rFonts w:ascii="Calibri" w:eastAsia="Times New Roman" w:hAnsi="Calibri" w:cs="Times New Roman"/>
                <w:color w:val="000000"/>
                <w:sz w:val="20"/>
                <w:szCs w:val="20"/>
                <w:lang w:eastAsia="en-GB"/>
              </w:rPr>
            </w:pPr>
          </w:p>
        </w:tc>
        <w:tc>
          <w:tcPr>
            <w:tcW w:w="302" w:type="pct"/>
            <w:tcBorders>
              <w:top w:val="single" w:sz="4" w:space="0" w:color="auto"/>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451BA9" w:rsidRPr="001763AE" w:rsidTr="0085137F">
        <w:trPr>
          <w:trHeight w:val="20"/>
        </w:trPr>
        <w:tc>
          <w:tcPr>
            <w:tcW w:w="647" w:type="pct"/>
            <w:tcBorders>
              <w:top w:val="nil"/>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p>
        </w:tc>
        <w:tc>
          <w:tcPr>
            <w:tcW w:w="615" w:type="pct"/>
            <w:gridSpan w:val="3"/>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Actual</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$20,997</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$38,500</w:t>
            </w:r>
          </w:p>
        </w:tc>
        <w:tc>
          <w:tcPr>
            <w:tcW w:w="467" w:type="pct"/>
            <w:tcBorders>
              <w:top w:val="nil"/>
              <w:left w:val="nil"/>
              <w:bottom w:val="nil"/>
              <w:right w:val="nil"/>
            </w:tcBorders>
            <w:shd w:val="clear" w:color="auto" w:fill="auto"/>
            <w:noWrap/>
            <w:vAlign w:val="bottom"/>
            <w:hideMark/>
          </w:tcPr>
          <w:p w:rsidR="00451BA9" w:rsidRPr="001763AE" w:rsidRDefault="003C647A"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$38,870</w:t>
            </w:r>
            <w:r w:rsidR="00451BA9" w:rsidRPr="001763AE">
              <w:rPr>
                <w:rFonts w:ascii="Calibri" w:eastAsia="Times New Roman" w:hAnsi="Calibri" w:cs="Times New Roman"/>
                <w:i/>
                <w:iCs/>
                <w:color w:val="000000"/>
                <w:sz w:val="20"/>
                <w:szCs w:val="20"/>
                <w:lang w:eastAsia="en-GB"/>
              </w:rPr>
              <w:t xml:space="preserve"> </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$7,553 </w:t>
            </w:r>
          </w:p>
        </w:tc>
        <w:tc>
          <w:tcPr>
            <w:tcW w:w="479"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p>
        </w:tc>
        <w:tc>
          <w:tcPr>
            <w:tcW w:w="528" w:type="pct"/>
            <w:tcBorders>
              <w:top w:val="nil"/>
              <w:left w:val="nil"/>
              <w:bottom w:val="nil"/>
              <w:right w:val="nil"/>
            </w:tcBorders>
            <w:shd w:val="clear" w:color="auto" w:fill="auto"/>
            <w:noWrap/>
            <w:vAlign w:val="bottom"/>
            <w:hideMark/>
          </w:tcPr>
          <w:p w:rsidR="00451BA9" w:rsidRPr="001763AE" w:rsidRDefault="0085137F"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$105,920</w:t>
            </w:r>
          </w:p>
        </w:tc>
        <w:tc>
          <w:tcPr>
            <w:tcW w:w="567" w:type="pct"/>
            <w:tcBorders>
              <w:top w:val="nil"/>
              <w:left w:val="nil"/>
              <w:bottom w:val="nil"/>
              <w:right w:val="nil"/>
            </w:tcBorders>
          </w:tcPr>
          <w:p w:rsidR="00451BA9" w:rsidRPr="001763AE" w:rsidRDefault="001752CF" w:rsidP="00B33D20">
            <w:pPr>
              <w:spacing w:line="240" w:lineRule="auto"/>
              <w:rPr>
                <w:rFonts w:ascii="Calibri" w:eastAsia="Times New Roman" w:hAnsi="Calibri" w:cs="Times New Roman"/>
                <w:color w:val="000000"/>
                <w:sz w:val="18"/>
                <w:szCs w:val="18"/>
                <w:lang w:eastAsia="en-GB"/>
              </w:rPr>
            </w:pPr>
            <w:r w:rsidRPr="001763AE">
              <w:rPr>
                <w:rFonts w:ascii="Calibri" w:eastAsia="Times New Roman" w:hAnsi="Calibri" w:cs="Times New Roman"/>
                <w:i/>
                <w:iCs/>
                <w:color w:val="000000"/>
                <w:sz w:val="20"/>
                <w:szCs w:val="20"/>
                <w:lang w:eastAsia="en-GB"/>
              </w:rPr>
              <w:t>$105,920</w:t>
            </w:r>
          </w:p>
        </w:tc>
        <w:tc>
          <w:tcPr>
            <w:tcW w:w="302" w:type="pct"/>
            <w:tcBorders>
              <w:top w:val="nil"/>
              <w:left w:val="nil"/>
              <w:bottom w:val="nil"/>
              <w:right w:val="single" w:sz="4" w:space="0" w:color="auto"/>
            </w:tcBorders>
            <w:shd w:val="clear" w:color="auto" w:fill="auto"/>
            <w:noWrap/>
            <w:vAlign w:val="bottom"/>
            <w:hideMark/>
          </w:tcPr>
          <w:p w:rsidR="00451BA9" w:rsidRPr="001763AE" w:rsidRDefault="003C647A" w:rsidP="00B33D20">
            <w:pPr>
              <w:spacing w:line="240" w:lineRule="auto"/>
              <w:rPr>
                <w:rFonts w:ascii="Calibri" w:eastAsia="Times New Roman" w:hAnsi="Calibri" w:cs="Times New Roman"/>
                <w:color w:val="000000"/>
                <w:sz w:val="16"/>
                <w:szCs w:val="16"/>
                <w:lang w:eastAsia="en-GB"/>
              </w:rPr>
            </w:pPr>
            <w:r w:rsidRPr="001763AE">
              <w:rPr>
                <w:rFonts w:ascii="Calibri" w:eastAsia="Times New Roman" w:hAnsi="Calibri" w:cs="Times New Roman"/>
                <w:color w:val="000000"/>
                <w:sz w:val="16"/>
                <w:szCs w:val="16"/>
                <w:lang w:eastAsia="en-GB"/>
              </w:rPr>
              <w:t>€</w:t>
            </w:r>
            <w:r w:rsidR="00451BA9" w:rsidRPr="001763AE">
              <w:rPr>
                <w:rFonts w:ascii="Calibri" w:eastAsia="Times New Roman" w:hAnsi="Calibri" w:cs="Times New Roman"/>
                <w:color w:val="000000"/>
                <w:sz w:val="16"/>
                <w:szCs w:val="16"/>
                <w:lang w:eastAsia="en-GB"/>
              </w:rPr>
              <w:t>1 = $1.4</w:t>
            </w:r>
          </w:p>
        </w:tc>
      </w:tr>
      <w:tr w:rsidR="00451BA9" w:rsidRPr="001763AE" w:rsidTr="001752CF">
        <w:trPr>
          <w:trHeight w:val="20"/>
        </w:trPr>
        <w:tc>
          <w:tcPr>
            <w:tcW w:w="647" w:type="pct"/>
            <w:tcBorders>
              <w:top w:val="single" w:sz="4" w:space="0" w:color="auto"/>
              <w:left w:val="single" w:sz="4" w:space="0" w:color="auto"/>
              <w:bottom w:val="nil"/>
              <w:right w:val="nil"/>
            </w:tcBorders>
            <w:shd w:val="clear" w:color="auto" w:fill="auto"/>
            <w:noWrap/>
            <w:vAlign w:val="center"/>
            <w:hideMark/>
          </w:tcPr>
          <w:p w:rsidR="00451BA9" w:rsidRPr="001763AE" w:rsidRDefault="00451BA9" w:rsidP="001752CF">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TOTAL OTHER FUNDS</w:t>
            </w:r>
          </w:p>
        </w:tc>
        <w:tc>
          <w:tcPr>
            <w:tcW w:w="615" w:type="pct"/>
            <w:gridSpan w:val="3"/>
            <w:tcBorders>
              <w:top w:val="single" w:sz="4" w:space="0" w:color="auto"/>
              <w:left w:val="nil"/>
              <w:bottom w:val="nil"/>
              <w:right w:val="nil"/>
            </w:tcBorders>
            <w:shd w:val="clear" w:color="000000" w:fill="D9D9D9"/>
            <w:noWrap/>
            <w:hideMark/>
          </w:tcPr>
          <w:p w:rsidR="00451BA9" w:rsidRPr="001763AE" w:rsidRDefault="001752CF" w:rsidP="001752CF">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Planned</w:t>
            </w:r>
          </w:p>
        </w:tc>
        <w:tc>
          <w:tcPr>
            <w:tcW w:w="465" w:type="pct"/>
            <w:tcBorders>
              <w:top w:val="single" w:sz="4" w:space="0" w:color="auto"/>
              <w:left w:val="nil"/>
              <w:bottom w:val="nil"/>
              <w:right w:val="nil"/>
            </w:tcBorders>
            <w:shd w:val="clear" w:color="000000" w:fill="D9D9D9"/>
            <w:noWrap/>
            <w:hideMark/>
          </w:tcPr>
          <w:p w:rsidR="00451BA9" w:rsidRPr="001763AE" w:rsidRDefault="00451BA9" w:rsidP="001752CF">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$1,186,685 </w:t>
            </w:r>
          </w:p>
        </w:tc>
        <w:tc>
          <w:tcPr>
            <w:tcW w:w="465" w:type="pct"/>
            <w:tcBorders>
              <w:top w:val="single" w:sz="4" w:space="0" w:color="auto"/>
              <w:left w:val="nil"/>
              <w:bottom w:val="nil"/>
              <w:right w:val="nil"/>
            </w:tcBorders>
            <w:shd w:val="clear" w:color="000000" w:fill="D9D9D9"/>
            <w:noWrap/>
            <w:hideMark/>
          </w:tcPr>
          <w:p w:rsidR="00451BA9" w:rsidRPr="001763AE" w:rsidRDefault="00451BA9" w:rsidP="001752CF">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$1,186,685 </w:t>
            </w:r>
          </w:p>
        </w:tc>
        <w:tc>
          <w:tcPr>
            <w:tcW w:w="467" w:type="pct"/>
            <w:tcBorders>
              <w:top w:val="single" w:sz="4" w:space="0" w:color="auto"/>
              <w:left w:val="nil"/>
              <w:bottom w:val="nil"/>
              <w:right w:val="nil"/>
            </w:tcBorders>
            <w:shd w:val="clear" w:color="000000" w:fill="D9D9D9"/>
            <w:noWrap/>
            <w:hideMark/>
          </w:tcPr>
          <w:p w:rsidR="00451BA9" w:rsidRPr="001763AE" w:rsidRDefault="00451BA9" w:rsidP="001752CF">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$1,173,685 </w:t>
            </w:r>
          </w:p>
        </w:tc>
        <w:tc>
          <w:tcPr>
            <w:tcW w:w="465" w:type="pct"/>
            <w:tcBorders>
              <w:top w:val="single" w:sz="4" w:space="0" w:color="auto"/>
              <w:left w:val="nil"/>
              <w:bottom w:val="nil"/>
              <w:right w:val="nil"/>
            </w:tcBorders>
            <w:shd w:val="clear" w:color="000000" w:fill="D9D9D9"/>
            <w:noWrap/>
            <w:hideMark/>
          </w:tcPr>
          <w:p w:rsidR="00451BA9" w:rsidRPr="001763AE" w:rsidRDefault="00451BA9" w:rsidP="001752CF">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$1,169,986 </w:t>
            </w:r>
          </w:p>
        </w:tc>
        <w:tc>
          <w:tcPr>
            <w:tcW w:w="479" w:type="pct"/>
            <w:tcBorders>
              <w:top w:val="single" w:sz="4" w:space="0" w:color="auto"/>
              <w:left w:val="nil"/>
              <w:bottom w:val="nil"/>
              <w:right w:val="nil"/>
            </w:tcBorders>
            <w:shd w:val="clear" w:color="000000" w:fill="D9D9D9"/>
            <w:noWrap/>
            <w:hideMark/>
          </w:tcPr>
          <w:p w:rsidR="00451BA9" w:rsidRPr="001763AE" w:rsidRDefault="00451BA9" w:rsidP="001752CF">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w:t>
            </w:r>
            <w:r w:rsidR="0025256D">
              <w:rPr>
                <w:rFonts w:ascii="Calibri" w:eastAsia="Times New Roman" w:hAnsi="Calibri" w:cs="Times New Roman"/>
                <w:color w:val="000000"/>
                <w:sz w:val="20"/>
                <w:szCs w:val="20"/>
                <w:lang w:eastAsia="en-GB"/>
              </w:rPr>
              <w:t xml:space="preserve"> </w:t>
            </w:r>
          </w:p>
        </w:tc>
        <w:tc>
          <w:tcPr>
            <w:tcW w:w="528" w:type="pct"/>
            <w:tcBorders>
              <w:top w:val="single" w:sz="4" w:space="0" w:color="auto"/>
              <w:left w:val="nil"/>
              <w:bottom w:val="nil"/>
              <w:right w:val="nil"/>
            </w:tcBorders>
            <w:shd w:val="clear" w:color="000000" w:fill="D9D9D9"/>
            <w:noWrap/>
            <w:hideMark/>
          </w:tcPr>
          <w:p w:rsidR="00451BA9" w:rsidRPr="001763AE" w:rsidRDefault="00451BA9" w:rsidP="001752CF">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$4,717,041 </w:t>
            </w:r>
          </w:p>
        </w:tc>
        <w:tc>
          <w:tcPr>
            <w:tcW w:w="567" w:type="pct"/>
            <w:tcBorders>
              <w:top w:val="single" w:sz="4" w:space="0" w:color="auto"/>
              <w:left w:val="nil"/>
              <w:bottom w:val="nil"/>
              <w:right w:val="nil"/>
            </w:tcBorders>
          </w:tcPr>
          <w:p w:rsidR="00451BA9" w:rsidRPr="001763AE" w:rsidRDefault="00451BA9" w:rsidP="00B33D20">
            <w:pPr>
              <w:spacing w:line="240" w:lineRule="auto"/>
              <w:rPr>
                <w:rFonts w:ascii="Calibri" w:eastAsia="Times New Roman" w:hAnsi="Calibri" w:cs="Times New Roman"/>
                <w:color w:val="000000"/>
                <w:sz w:val="20"/>
                <w:szCs w:val="20"/>
                <w:lang w:eastAsia="en-GB"/>
              </w:rPr>
            </w:pPr>
          </w:p>
        </w:tc>
        <w:tc>
          <w:tcPr>
            <w:tcW w:w="302" w:type="pct"/>
            <w:tcBorders>
              <w:top w:val="single" w:sz="4" w:space="0" w:color="auto"/>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A12516" w:rsidRPr="001763AE" w:rsidTr="0085137F">
        <w:trPr>
          <w:trHeight w:val="20"/>
        </w:trPr>
        <w:tc>
          <w:tcPr>
            <w:tcW w:w="647" w:type="pct"/>
            <w:tcBorders>
              <w:top w:val="nil"/>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w:t>
            </w:r>
          </w:p>
        </w:tc>
        <w:tc>
          <w:tcPr>
            <w:tcW w:w="329"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Actual</w:t>
            </w:r>
          </w:p>
        </w:tc>
        <w:tc>
          <w:tcPr>
            <w:tcW w:w="286" w:type="pct"/>
            <w:gridSpan w:val="2"/>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Total</w:t>
            </w:r>
          </w:p>
        </w:tc>
        <w:tc>
          <w:tcPr>
            <w:tcW w:w="465" w:type="pct"/>
            <w:tcBorders>
              <w:top w:val="nil"/>
              <w:left w:val="nil"/>
              <w:bottom w:val="nil"/>
              <w:right w:val="nil"/>
            </w:tcBorders>
            <w:shd w:val="clear" w:color="auto" w:fill="auto"/>
            <w:noWrap/>
            <w:vAlign w:val="bottom"/>
            <w:hideMark/>
          </w:tcPr>
          <w:p w:rsidR="00451BA9" w:rsidRPr="001763AE" w:rsidRDefault="00451BA9" w:rsidP="00A12516">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xml:space="preserve"> $20,997 </w:t>
            </w:r>
          </w:p>
        </w:tc>
        <w:tc>
          <w:tcPr>
            <w:tcW w:w="465" w:type="pct"/>
            <w:tcBorders>
              <w:top w:val="nil"/>
              <w:left w:val="nil"/>
              <w:bottom w:val="nil"/>
              <w:right w:val="nil"/>
            </w:tcBorders>
            <w:shd w:val="clear" w:color="auto" w:fill="auto"/>
            <w:noWrap/>
            <w:vAlign w:val="bottom"/>
            <w:hideMark/>
          </w:tcPr>
          <w:p w:rsidR="00451BA9" w:rsidRPr="001763AE" w:rsidRDefault="00A12516" w:rsidP="00A12516">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xml:space="preserve"> $1,776,106</w:t>
            </w:r>
            <w:r w:rsidR="00451BA9" w:rsidRPr="001763AE">
              <w:rPr>
                <w:rFonts w:ascii="Calibri" w:eastAsia="Times New Roman" w:hAnsi="Calibri" w:cs="Times New Roman"/>
                <w:b/>
                <w:bCs/>
                <w:color w:val="000000"/>
                <w:sz w:val="20"/>
                <w:szCs w:val="20"/>
                <w:lang w:eastAsia="en-GB"/>
              </w:rPr>
              <w:t xml:space="preserve"> </w:t>
            </w:r>
          </w:p>
        </w:tc>
        <w:tc>
          <w:tcPr>
            <w:tcW w:w="467" w:type="pct"/>
            <w:tcBorders>
              <w:top w:val="nil"/>
              <w:left w:val="nil"/>
              <w:bottom w:val="nil"/>
              <w:right w:val="nil"/>
            </w:tcBorders>
            <w:shd w:val="clear" w:color="auto" w:fill="auto"/>
            <w:noWrap/>
            <w:vAlign w:val="bottom"/>
            <w:hideMark/>
          </w:tcPr>
          <w:p w:rsidR="00451BA9" w:rsidRPr="001763AE" w:rsidRDefault="00451BA9" w:rsidP="0085137F">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xml:space="preserve"> </w:t>
            </w:r>
            <w:r w:rsidR="00A12516" w:rsidRPr="001763AE">
              <w:rPr>
                <w:rFonts w:ascii="Calibri" w:eastAsia="Times New Roman" w:hAnsi="Calibri" w:cs="Times New Roman"/>
                <w:b/>
                <w:bCs/>
                <w:color w:val="000000"/>
                <w:sz w:val="20"/>
                <w:szCs w:val="20"/>
                <w:lang w:eastAsia="en-GB"/>
              </w:rPr>
              <w:t>$1,760,570</w:t>
            </w:r>
            <w:r w:rsidRPr="001763AE">
              <w:rPr>
                <w:rFonts w:ascii="Calibri" w:eastAsia="Times New Roman" w:hAnsi="Calibri" w:cs="Times New Roman"/>
                <w:b/>
                <w:bCs/>
                <w:color w:val="000000"/>
                <w:sz w:val="20"/>
                <w:szCs w:val="20"/>
                <w:lang w:eastAsia="en-GB"/>
              </w:rPr>
              <w:t xml:space="preserve"> </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xml:space="preserve"> $607,553. 00 </w:t>
            </w:r>
          </w:p>
        </w:tc>
        <w:tc>
          <w:tcPr>
            <w:tcW w:w="479"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xml:space="preserve"> $710,000. 00 </w:t>
            </w:r>
          </w:p>
        </w:tc>
        <w:tc>
          <w:tcPr>
            <w:tcW w:w="528" w:type="pct"/>
            <w:tcBorders>
              <w:top w:val="nil"/>
              <w:left w:val="nil"/>
              <w:bottom w:val="nil"/>
              <w:right w:val="nil"/>
            </w:tcBorders>
            <w:shd w:val="clear" w:color="auto" w:fill="auto"/>
            <w:noWrap/>
            <w:vAlign w:val="bottom"/>
            <w:hideMark/>
          </w:tcPr>
          <w:p w:rsidR="00451BA9" w:rsidRPr="001763AE" w:rsidRDefault="00451BA9" w:rsidP="0085137F">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xml:space="preserve"> $4,875,225 </w:t>
            </w:r>
          </w:p>
        </w:tc>
        <w:tc>
          <w:tcPr>
            <w:tcW w:w="567" w:type="pct"/>
            <w:tcBorders>
              <w:top w:val="nil"/>
              <w:left w:val="nil"/>
              <w:bottom w:val="nil"/>
              <w:right w:val="nil"/>
            </w:tcBorders>
          </w:tcPr>
          <w:p w:rsidR="00451BA9" w:rsidRPr="001763AE" w:rsidRDefault="001752CF" w:rsidP="00B33D20">
            <w:pPr>
              <w:spacing w:line="240" w:lineRule="auto"/>
              <w:rPr>
                <w:rFonts w:ascii="Calibri" w:eastAsia="Times New Roman" w:hAnsi="Calibri" w:cs="Times New Roman"/>
                <w:b/>
                <w:color w:val="000000"/>
                <w:sz w:val="20"/>
                <w:szCs w:val="20"/>
                <w:lang w:eastAsia="en-GB"/>
              </w:rPr>
            </w:pPr>
            <w:r w:rsidRPr="001763AE">
              <w:rPr>
                <w:rFonts w:ascii="Calibri" w:eastAsia="Times New Roman" w:hAnsi="Calibri" w:cs="Times New Roman"/>
                <w:b/>
                <w:color w:val="000000"/>
                <w:sz w:val="20"/>
                <w:szCs w:val="20"/>
                <w:lang w:eastAsia="en-GB"/>
              </w:rPr>
              <w:t>$4,875,920</w:t>
            </w:r>
          </w:p>
        </w:tc>
        <w:tc>
          <w:tcPr>
            <w:tcW w:w="302" w:type="pct"/>
            <w:tcBorders>
              <w:top w:val="nil"/>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A12516" w:rsidRPr="001763AE" w:rsidTr="0085137F">
        <w:trPr>
          <w:trHeight w:val="20"/>
        </w:trPr>
        <w:tc>
          <w:tcPr>
            <w:tcW w:w="647" w:type="pct"/>
            <w:tcBorders>
              <w:top w:val="nil"/>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w:t>
            </w:r>
          </w:p>
        </w:tc>
        <w:tc>
          <w:tcPr>
            <w:tcW w:w="329" w:type="pct"/>
            <w:tcBorders>
              <w:top w:val="nil"/>
              <w:left w:val="nil"/>
              <w:bottom w:val="nil"/>
              <w:right w:val="nil"/>
            </w:tcBorders>
            <w:shd w:val="clear" w:color="auto" w:fill="auto"/>
            <w:noWrap/>
            <w:vAlign w:val="bottom"/>
            <w:hideMark/>
          </w:tcPr>
          <w:p w:rsidR="00451BA9" w:rsidRPr="001763AE" w:rsidRDefault="00451BA9" w:rsidP="00E517D9">
            <w:pPr>
              <w:spacing w:line="240" w:lineRule="auto"/>
              <w:rPr>
                <w:rFonts w:ascii="Calibri" w:eastAsia="Times New Roman" w:hAnsi="Calibri" w:cs="Times New Roman"/>
                <w:color w:val="000000"/>
                <w:sz w:val="20"/>
                <w:szCs w:val="20"/>
                <w:lang w:eastAsia="en-GB"/>
              </w:rPr>
            </w:pPr>
          </w:p>
        </w:tc>
        <w:tc>
          <w:tcPr>
            <w:tcW w:w="286" w:type="pct"/>
            <w:gridSpan w:val="2"/>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Cash</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w:t>
            </w:r>
            <w:r w:rsidR="0025256D">
              <w:rPr>
                <w:rFonts w:ascii="Calibri" w:eastAsia="Times New Roman" w:hAnsi="Calibri" w:cs="Times New Roman"/>
                <w:i/>
                <w:iCs/>
                <w:color w:val="000000"/>
                <w:sz w:val="20"/>
                <w:szCs w:val="20"/>
                <w:lang w:eastAsia="en-GB"/>
              </w:rPr>
              <w:t xml:space="preserve"> </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$17,605.59 </w:t>
            </w:r>
          </w:p>
        </w:tc>
        <w:tc>
          <w:tcPr>
            <w:tcW w:w="467" w:type="pct"/>
            <w:tcBorders>
              <w:top w:val="nil"/>
              <w:left w:val="nil"/>
              <w:bottom w:val="nil"/>
              <w:right w:val="nil"/>
            </w:tcBorders>
            <w:shd w:val="clear" w:color="auto" w:fill="auto"/>
            <w:noWrap/>
            <w:vAlign w:val="bottom"/>
            <w:hideMark/>
          </w:tcPr>
          <w:p w:rsidR="00451BA9" w:rsidRPr="001763AE" w:rsidRDefault="00451BA9" w:rsidP="0085137F">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$1,700 </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w:t>
            </w:r>
            <w:r w:rsidR="0025256D">
              <w:rPr>
                <w:rFonts w:ascii="Calibri" w:eastAsia="Times New Roman" w:hAnsi="Calibri" w:cs="Times New Roman"/>
                <w:i/>
                <w:iCs/>
                <w:color w:val="000000"/>
                <w:sz w:val="20"/>
                <w:szCs w:val="20"/>
                <w:lang w:eastAsia="en-GB"/>
              </w:rPr>
              <w:t xml:space="preserve"> </w:t>
            </w:r>
          </w:p>
        </w:tc>
        <w:tc>
          <w:tcPr>
            <w:tcW w:w="479"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w:t>
            </w:r>
            <w:r w:rsidR="0025256D">
              <w:rPr>
                <w:rFonts w:ascii="Calibri" w:eastAsia="Times New Roman" w:hAnsi="Calibri" w:cs="Times New Roman"/>
                <w:i/>
                <w:iCs/>
                <w:color w:val="000000"/>
                <w:sz w:val="20"/>
                <w:szCs w:val="20"/>
                <w:lang w:eastAsia="en-GB"/>
              </w:rPr>
              <w:t xml:space="preserve"> </w:t>
            </w:r>
          </w:p>
        </w:tc>
        <w:tc>
          <w:tcPr>
            <w:tcW w:w="528" w:type="pct"/>
            <w:tcBorders>
              <w:top w:val="nil"/>
              <w:left w:val="nil"/>
              <w:bottom w:val="nil"/>
              <w:right w:val="nil"/>
            </w:tcBorders>
            <w:shd w:val="clear" w:color="auto" w:fill="auto"/>
            <w:noWrap/>
            <w:vAlign w:val="bottom"/>
            <w:hideMark/>
          </w:tcPr>
          <w:p w:rsidR="00451BA9" w:rsidRPr="001763AE" w:rsidRDefault="0085137F"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$19,306</w:t>
            </w:r>
            <w:r w:rsidR="00451BA9" w:rsidRPr="001763AE">
              <w:rPr>
                <w:rFonts w:ascii="Calibri" w:eastAsia="Times New Roman" w:hAnsi="Calibri" w:cs="Times New Roman"/>
                <w:i/>
                <w:iCs/>
                <w:color w:val="000000"/>
                <w:sz w:val="20"/>
                <w:szCs w:val="20"/>
                <w:lang w:eastAsia="en-GB"/>
              </w:rPr>
              <w:t xml:space="preserve"> </w:t>
            </w:r>
          </w:p>
        </w:tc>
        <w:tc>
          <w:tcPr>
            <w:tcW w:w="567" w:type="pct"/>
            <w:tcBorders>
              <w:top w:val="nil"/>
              <w:left w:val="nil"/>
              <w:bottom w:val="nil"/>
              <w:right w:val="nil"/>
            </w:tcBorders>
          </w:tcPr>
          <w:p w:rsidR="00451BA9" w:rsidRPr="001763AE" w:rsidRDefault="001752CF"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$20,000</w:t>
            </w:r>
          </w:p>
        </w:tc>
        <w:tc>
          <w:tcPr>
            <w:tcW w:w="302" w:type="pct"/>
            <w:tcBorders>
              <w:top w:val="nil"/>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A12516" w:rsidRPr="001763AE" w:rsidTr="0085137F">
        <w:trPr>
          <w:trHeight w:val="20"/>
        </w:trPr>
        <w:tc>
          <w:tcPr>
            <w:tcW w:w="647" w:type="pct"/>
            <w:tcBorders>
              <w:top w:val="nil"/>
              <w:left w:val="single" w:sz="4" w:space="0" w:color="auto"/>
              <w:bottom w:val="single" w:sz="4" w:space="0" w:color="auto"/>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c>
          <w:tcPr>
            <w:tcW w:w="329" w:type="pct"/>
            <w:tcBorders>
              <w:top w:val="nil"/>
              <w:left w:val="nil"/>
              <w:bottom w:val="single" w:sz="4" w:space="0" w:color="auto"/>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p>
        </w:tc>
        <w:tc>
          <w:tcPr>
            <w:tcW w:w="286" w:type="pct"/>
            <w:gridSpan w:val="2"/>
            <w:tcBorders>
              <w:top w:val="nil"/>
              <w:left w:val="nil"/>
              <w:bottom w:val="single" w:sz="4" w:space="0" w:color="auto"/>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In Kind</w:t>
            </w:r>
          </w:p>
        </w:tc>
        <w:tc>
          <w:tcPr>
            <w:tcW w:w="465" w:type="pct"/>
            <w:tcBorders>
              <w:top w:val="nil"/>
              <w:left w:val="nil"/>
              <w:bottom w:val="single" w:sz="4" w:space="0" w:color="auto"/>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$20,997.20 </w:t>
            </w:r>
          </w:p>
        </w:tc>
        <w:tc>
          <w:tcPr>
            <w:tcW w:w="465" w:type="pct"/>
            <w:tcBorders>
              <w:top w:val="nil"/>
              <w:left w:val="nil"/>
              <w:bottom w:val="single" w:sz="4" w:space="0" w:color="auto"/>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$1,758,500</w:t>
            </w:r>
          </w:p>
        </w:tc>
        <w:tc>
          <w:tcPr>
            <w:tcW w:w="467" w:type="pct"/>
            <w:tcBorders>
              <w:top w:val="nil"/>
              <w:left w:val="nil"/>
              <w:bottom w:val="single" w:sz="4" w:space="0" w:color="auto"/>
              <w:right w:val="nil"/>
            </w:tcBorders>
            <w:shd w:val="clear" w:color="auto" w:fill="auto"/>
            <w:noWrap/>
            <w:vAlign w:val="bottom"/>
            <w:hideMark/>
          </w:tcPr>
          <w:p w:rsidR="00451BA9" w:rsidRPr="001763AE" w:rsidRDefault="00451BA9" w:rsidP="0085137F">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$1,758,869 </w:t>
            </w:r>
          </w:p>
        </w:tc>
        <w:tc>
          <w:tcPr>
            <w:tcW w:w="465" w:type="pct"/>
            <w:tcBorders>
              <w:top w:val="nil"/>
              <w:left w:val="nil"/>
              <w:bottom w:val="single" w:sz="4" w:space="0" w:color="auto"/>
              <w:right w:val="nil"/>
            </w:tcBorders>
            <w:shd w:val="clear" w:color="auto" w:fill="auto"/>
            <w:noWrap/>
            <w:vAlign w:val="bottom"/>
            <w:hideMark/>
          </w:tcPr>
          <w:p w:rsidR="00451BA9" w:rsidRPr="001763AE" w:rsidRDefault="00451BA9" w:rsidP="0085137F">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$607,553 </w:t>
            </w:r>
          </w:p>
        </w:tc>
        <w:tc>
          <w:tcPr>
            <w:tcW w:w="479" w:type="pct"/>
            <w:tcBorders>
              <w:top w:val="nil"/>
              <w:left w:val="nil"/>
              <w:bottom w:val="single" w:sz="4" w:space="0" w:color="auto"/>
              <w:right w:val="nil"/>
            </w:tcBorders>
            <w:shd w:val="clear" w:color="auto" w:fill="auto"/>
            <w:noWrap/>
            <w:vAlign w:val="bottom"/>
            <w:hideMark/>
          </w:tcPr>
          <w:p w:rsidR="00451BA9" w:rsidRPr="001763AE" w:rsidRDefault="00451BA9" w:rsidP="0085137F">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$710,000 </w:t>
            </w:r>
          </w:p>
        </w:tc>
        <w:tc>
          <w:tcPr>
            <w:tcW w:w="528" w:type="pct"/>
            <w:tcBorders>
              <w:top w:val="nil"/>
              <w:left w:val="nil"/>
              <w:bottom w:val="single" w:sz="4" w:space="0" w:color="auto"/>
              <w:right w:val="nil"/>
            </w:tcBorders>
            <w:shd w:val="clear" w:color="auto" w:fill="auto"/>
            <w:noWrap/>
            <w:vAlign w:val="bottom"/>
            <w:hideMark/>
          </w:tcPr>
          <w:p w:rsidR="00451BA9" w:rsidRPr="001763AE" w:rsidRDefault="0085137F" w:rsidP="0085137F">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$4,855,920</w:t>
            </w:r>
            <w:r w:rsidR="00451BA9" w:rsidRPr="001763AE">
              <w:rPr>
                <w:rFonts w:ascii="Calibri" w:eastAsia="Times New Roman" w:hAnsi="Calibri" w:cs="Times New Roman"/>
                <w:i/>
                <w:iCs/>
                <w:color w:val="000000"/>
                <w:sz w:val="20"/>
                <w:szCs w:val="20"/>
                <w:lang w:eastAsia="en-GB"/>
              </w:rPr>
              <w:t xml:space="preserve"> </w:t>
            </w:r>
          </w:p>
        </w:tc>
        <w:tc>
          <w:tcPr>
            <w:tcW w:w="567" w:type="pct"/>
            <w:tcBorders>
              <w:top w:val="nil"/>
              <w:left w:val="nil"/>
              <w:bottom w:val="single" w:sz="4" w:space="0" w:color="auto"/>
              <w:right w:val="nil"/>
            </w:tcBorders>
          </w:tcPr>
          <w:p w:rsidR="00451BA9" w:rsidRPr="001763AE" w:rsidRDefault="001752CF"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$4,895,920</w:t>
            </w:r>
          </w:p>
        </w:tc>
        <w:tc>
          <w:tcPr>
            <w:tcW w:w="302" w:type="pct"/>
            <w:tcBorders>
              <w:top w:val="nil"/>
              <w:left w:val="nil"/>
              <w:bottom w:val="single" w:sz="4" w:space="0" w:color="auto"/>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451BA9" w:rsidRPr="001763AE" w:rsidTr="0085137F">
        <w:trPr>
          <w:trHeight w:val="20"/>
        </w:trPr>
        <w:tc>
          <w:tcPr>
            <w:tcW w:w="647" w:type="pct"/>
            <w:tcBorders>
              <w:top w:val="single" w:sz="4" w:space="0" w:color="auto"/>
              <w:left w:val="single" w:sz="4" w:space="0" w:color="auto"/>
              <w:bottom w:val="single" w:sz="4" w:space="0" w:color="auto"/>
            </w:tcBorders>
            <w:shd w:val="clear" w:color="auto" w:fill="7F7F7F" w:themeFill="text1" w:themeFillTint="80"/>
            <w:noWrap/>
            <w:vAlign w:val="bottom"/>
            <w:hideMark/>
          </w:tcPr>
          <w:p w:rsidR="00451BA9" w:rsidRPr="001763AE" w:rsidRDefault="00451BA9" w:rsidP="001F18F8">
            <w:pPr>
              <w:spacing w:line="240" w:lineRule="auto"/>
              <w:rPr>
                <w:rFonts w:ascii="Calibri" w:eastAsia="Times New Roman" w:hAnsi="Calibri" w:cs="Times New Roman"/>
                <w:b/>
                <w:bCs/>
                <w:color w:val="FFFFFF" w:themeColor="background1"/>
                <w:lang w:eastAsia="en-GB"/>
              </w:rPr>
            </w:pPr>
            <w:r w:rsidRPr="001763AE">
              <w:rPr>
                <w:rFonts w:ascii="Calibri" w:eastAsia="Times New Roman" w:hAnsi="Calibri" w:cs="Times New Roman"/>
                <w:b/>
                <w:bCs/>
                <w:color w:val="FFFFFF" w:themeColor="background1"/>
                <w:lang w:eastAsia="en-GB"/>
              </w:rPr>
              <w:t>PROJECT TOTALS</w:t>
            </w:r>
          </w:p>
        </w:tc>
        <w:tc>
          <w:tcPr>
            <w:tcW w:w="615" w:type="pct"/>
            <w:gridSpan w:val="3"/>
            <w:tcBorders>
              <w:top w:val="single" w:sz="4" w:space="0" w:color="auto"/>
              <w:bottom w:val="single" w:sz="4" w:space="0" w:color="auto"/>
              <w:right w:val="single" w:sz="4" w:space="0" w:color="auto"/>
            </w:tcBorders>
            <w:shd w:val="clear" w:color="auto" w:fill="7F7F7F" w:themeFill="text1" w:themeFillTint="80"/>
            <w:noWrap/>
            <w:vAlign w:val="bottom"/>
            <w:hideMark/>
          </w:tcPr>
          <w:p w:rsidR="00451BA9" w:rsidRPr="001763AE" w:rsidRDefault="00451BA9" w:rsidP="001F18F8">
            <w:pPr>
              <w:spacing w:line="240" w:lineRule="auto"/>
              <w:rPr>
                <w:rFonts w:ascii="Calibri" w:eastAsia="Times New Roman" w:hAnsi="Calibri" w:cs="Times New Roman"/>
                <w:b/>
                <w:color w:val="FFFFFF" w:themeColor="background1"/>
                <w:lang w:eastAsia="en-GB"/>
              </w:rPr>
            </w:pPr>
          </w:p>
        </w:tc>
        <w:tc>
          <w:tcPr>
            <w:tcW w:w="465" w:type="pct"/>
            <w:tcBorders>
              <w:top w:val="single" w:sz="4" w:space="0" w:color="auto"/>
              <w:left w:val="nil"/>
              <w:bottom w:val="nil"/>
              <w:right w:val="single" w:sz="4" w:space="0" w:color="auto"/>
            </w:tcBorders>
            <w:shd w:val="clear" w:color="auto" w:fill="7F7F7F" w:themeFill="text1" w:themeFillTint="80"/>
            <w:noWrap/>
            <w:vAlign w:val="bottom"/>
            <w:hideMark/>
          </w:tcPr>
          <w:p w:rsidR="00451BA9" w:rsidRPr="001763AE" w:rsidRDefault="00451BA9" w:rsidP="001F18F8">
            <w:pPr>
              <w:spacing w:line="240" w:lineRule="auto"/>
              <w:jc w:val="center"/>
              <w:rPr>
                <w:rFonts w:ascii="Calibri" w:eastAsia="Times New Roman" w:hAnsi="Calibri" w:cs="Times New Roman"/>
                <w:b/>
                <w:color w:val="FFFFFF" w:themeColor="background1"/>
                <w:lang w:eastAsia="en-GB"/>
              </w:rPr>
            </w:pPr>
            <w:r w:rsidRPr="001763AE">
              <w:rPr>
                <w:rFonts w:ascii="Calibri" w:eastAsia="Times New Roman" w:hAnsi="Calibri" w:cs="Times New Roman"/>
                <w:b/>
                <w:color w:val="FFFFFF" w:themeColor="background1"/>
                <w:lang w:eastAsia="en-GB"/>
              </w:rPr>
              <w:t>2010</w:t>
            </w:r>
          </w:p>
        </w:tc>
        <w:tc>
          <w:tcPr>
            <w:tcW w:w="465" w:type="pct"/>
            <w:tcBorders>
              <w:top w:val="single" w:sz="4" w:space="0" w:color="auto"/>
              <w:left w:val="nil"/>
              <w:bottom w:val="nil"/>
              <w:right w:val="single" w:sz="4" w:space="0" w:color="auto"/>
            </w:tcBorders>
            <w:shd w:val="clear" w:color="auto" w:fill="7F7F7F" w:themeFill="text1" w:themeFillTint="80"/>
            <w:noWrap/>
            <w:vAlign w:val="bottom"/>
            <w:hideMark/>
          </w:tcPr>
          <w:p w:rsidR="00451BA9" w:rsidRPr="001763AE" w:rsidRDefault="00451BA9" w:rsidP="001F18F8">
            <w:pPr>
              <w:spacing w:line="240" w:lineRule="auto"/>
              <w:jc w:val="center"/>
              <w:rPr>
                <w:rFonts w:ascii="Calibri" w:eastAsia="Times New Roman" w:hAnsi="Calibri" w:cs="Times New Roman"/>
                <w:b/>
                <w:color w:val="FFFFFF" w:themeColor="background1"/>
                <w:lang w:eastAsia="en-GB"/>
              </w:rPr>
            </w:pPr>
            <w:r w:rsidRPr="001763AE">
              <w:rPr>
                <w:rFonts w:ascii="Calibri" w:eastAsia="Times New Roman" w:hAnsi="Calibri" w:cs="Times New Roman"/>
                <w:b/>
                <w:color w:val="FFFFFF" w:themeColor="background1"/>
                <w:lang w:eastAsia="en-GB"/>
              </w:rPr>
              <w:t>2011</w:t>
            </w:r>
          </w:p>
        </w:tc>
        <w:tc>
          <w:tcPr>
            <w:tcW w:w="467" w:type="pct"/>
            <w:tcBorders>
              <w:top w:val="single" w:sz="4" w:space="0" w:color="auto"/>
              <w:left w:val="nil"/>
              <w:bottom w:val="nil"/>
              <w:right w:val="single" w:sz="4" w:space="0" w:color="auto"/>
            </w:tcBorders>
            <w:shd w:val="clear" w:color="auto" w:fill="7F7F7F" w:themeFill="text1" w:themeFillTint="80"/>
            <w:noWrap/>
            <w:vAlign w:val="bottom"/>
            <w:hideMark/>
          </w:tcPr>
          <w:p w:rsidR="00451BA9" w:rsidRPr="001763AE" w:rsidRDefault="00451BA9" w:rsidP="001F18F8">
            <w:pPr>
              <w:spacing w:line="240" w:lineRule="auto"/>
              <w:jc w:val="center"/>
              <w:rPr>
                <w:rFonts w:ascii="Calibri" w:eastAsia="Times New Roman" w:hAnsi="Calibri" w:cs="Times New Roman"/>
                <w:b/>
                <w:color w:val="FFFFFF" w:themeColor="background1"/>
                <w:lang w:eastAsia="en-GB"/>
              </w:rPr>
            </w:pPr>
            <w:r w:rsidRPr="001763AE">
              <w:rPr>
                <w:rFonts w:ascii="Calibri" w:eastAsia="Times New Roman" w:hAnsi="Calibri" w:cs="Times New Roman"/>
                <w:b/>
                <w:color w:val="FFFFFF" w:themeColor="background1"/>
                <w:lang w:eastAsia="en-GB"/>
              </w:rPr>
              <w:t>2012</w:t>
            </w:r>
          </w:p>
        </w:tc>
        <w:tc>
          <w:tcPr>
            <w:tcW w:w="465" w:type="pct"/>
            <w:tcBorders>
              <w:top w:val="single" w:sz="4" w:space="0" w:color="auto"/>
              <w:left w:val="nil"/>
              <w:bottom w:val="nil"/>
              <w:right w:val="single" w:sz="4" w:space="0" w:color="auto"/>
            </w:tcBorders>
            <w:shd w:val="clear" w:color="auto" w:fill="7F7F7F" w:themeFill="text1" w:themeFillTint="80"/>
            <w:noWrap/>
            <w:vAlign w:val="bottom"/>
            <w:hideMark/>
          </w:tcPr>
          <w:p w:rsidR="00451BA9" w:rsidRPr="001763AE" w:rsidRDefault="00451BA9" w:rsidP="001F18F8">
            <w:pPr>
              <w:spacing w:line="240" w:lineRule="auto"/>
              <w:jc w:val="center"/>
              <w:rPr>
                <w:rFonts w:ascii="Calibri" w:eastAsia="Times New Roman" w:hAnsi="Calibri" w:cs="Times New Roman"/>
                <w:b/>
                <w:color w:val="FFFFFF" w:themeColor="background1"/>
                <w:lang w:eastAsia="en-GB"/>
              </w:rPr>
            </w:pPr>
            <w:r w:rsidRPr="001763AE">
              <w:rPr>
                <w:rFonts w:ascii="Calibri" w:eastAsia="Times New Roman" w:hAnsi="Calibri" w:cs="Times New Roman"/>
                <w:b/>
                <w:color w:val="FFFFFF" w:themeColor="background1"/>
                <w:lang w:eastAsia="en-GB"/>
              </w:rPr>
              <w:t>2013</w:t>
            </w:r>
          </w:p>
        </w:tc>
        <w:tc>
          <w:tcPr>
            <w:tcW w:w="479" w:type="pct"/>
            <w:tcBorders>
              <w:top w:val="single" w:sz="4" w:space="0" w:color="auto"/>
              <w:left w:val="nil"/>
              <w:bottom w:val="nil"/>
              <w:right w:val="nil"/>
            </w:tcBorders>
            <w:shd w:val="clear" w:color="auto" w:fill="7F7F7F" w:themeFill="text1" w:themeFillTint="80"/>
            <w:noWrap/>
            <w:vAlign w:val="bottom"/>
            <w:hideMark/>
          </w:tcPr>
          <w:p w:rsidR="00451BA9" w:rsidRPr="001763AE" w:rsidRDefault="00451BA9" w:rsidP="001F18F8">
            <w:pPr>
              <w:spacing w:line="240" w:lineRule="auto"/>
              <w:jc w:val="center"/>
              <w:rPr>
                <w:rFonts w:ascii="Calibri" w:eastAsia="Times New Roman" w:hAnsi="Calibri" w:cs="Times New Roman"/>
                <w:b/>
                <w:color w:val="FFFFFF" w:themeColor="background1"/>
                <w:lang w:eastAsia="en-GB"/>
              </w:rPr>
            </w:pPr>
            <w:r w:rsidRPr="001763AE">
              <w:rPr>
                <w:rFonts w:ascii="Calibri" w:eastAsia="Times New Roman" w:hAnsi="Calibri" w:cs="Times New Roman"/>
                <w:b/>
                <w:color w:val="FFFFFF" w:themeColor="background1"/>
                <w:lang w:eastAsia="en-GB"/>
              </w:rPr>
              <w:t>2014</w:t>
            </w:r>
          </w:p>
        </w:tc>
        <w:tc>
          <w:tcPr>
            <w:tcW w:w="528" w:type="pct"/>
            <w:tcBorders>
              <w:top w:val="single" w:sz="4" w:space="0" w:color="auto"/>
              <w:left w:val="single" w:sz="4" w:space="0" w:color="auto"/>
              <w:bottom w:val="nil"/>
              <w:right w:val="single" w:sz="4" w:space="0" w:color="auto"/>
            </w:tcBorders>
            <w:shd w:val="clear" w:color="auto" w:fill="7F7F7F" w:themeFill="text1" w:themeFillTint="80"/>
            <w:noWrap/>
            <w:vAlign w:val="bottom"/>
            <w:hideMark/>
          </w:tcPr>
          <w:p w:rsidR="00451BA9" w:rsidRPr="001763AE" w:rsidRDefault="00451BA9" w:rsidP="001F18F8">
            <w:pPr>
              <w:spacing w:line="240" w:lineRule="auto"/>
              <w:jc w:val="center"/>
              <w:rPr>
                <w:rFonts w:ascii="Calibri" w:eastAsia="Times New Roman" w:hAnsi="Calibri" w:cs="Times New Roman"/>
                <w:b/>
                <w:color w:val="FFFFFF" w:themeColor="background1"/>
                <w:lang w:eastAsia="en-GB"/>
              </w:rPr>
            </w:pPr>
            <w:r w:rsidRPr="001763AE">
              <w:rPr>
                <w:rFonts w:ascii="Calibri" w:eastAsia="Times New Roman" w:hAnsi="Calibri" w:cs="Times New Roman"/>
                <w:b/>
                <w:color w:val="FFFFFF" w:themeColor="background1"/>
                <w:lang w:eastAsia="en-GB"/>
              </w:rPr>
              <w:t>Total</w:t>
            </w:r>
          </w:p>
        </w:tc>
        <w:tc>
          <w:tcPr>
            <w:tcW w:w="567" w:type="pct"/>
            <w:tcBorders>
              <w:top w:val="single" w:sz="4" w:space="0" w:color="auto"/>
              <w:left w:val="nil"/>
              <w:bottom w:val="nil"/>
              <w:right w:val="nil"/>
            </w:tcBorders>
            <w:shd w:val="clear" w:color="auto" w:fill="7F7F7F" w:themeFill="text1" w:themeFillTint="80"/>
          </w:tcPr>
          <w:p w:rsidR="00451BA9" w:rsidRPr="001763AE" w:rsidRDefault="00451BA9" w:rsidP="001F18F8">
            <w:pPr>
              <w:spacing w:line="240" w:lineRule="auto"/>
              <w:rPr>
                <w:rFonts w:ascii="Calibri" w:eastAsia="Times New Roman" w:hAnsi="Calibri" w:cs="Times New Roman"/>
                <w:b/>
                <w:color w:val="FFFFFF" w:themeColor="background1"/>
                <w:lang w:eastAsia="en-GB"/>
              </w:rPr>
            </w:pPr>
          </w:p>
        </w:tc>
        <w:tc>
          <w:tcPr>
            <w:tcW w:w="302" w:type="pct"/>
            <w:tcBorders>
              <w:top w:val="single" w:sz="4" w:space="0" w:color="auto"/>
              <w:left w:val="nil"/>
              <w:bottom w:val="nil"/>
              <w:right w:val="single" w:sz="4" w:space="0" w:color="auto"/>
            </w:tcBorders>
            <w:shd w:val="clear" w:color="auto" w:fill="7F7F7F" w:themeFill="text1" w:themeFillTint="80"/>
            <w:noWrap/>
            <w:vAlign w:val="bottom"/>
            <w:hideMark/>
          </w:tcPr>
          <w:p w:rsidR="00451BA9" w:rsidRPr="001763AE" w:rsidRDefault="00451BA9" w:rsidP="001F18F8">
            <w:pPr>
              <w:spacing w:line="240" w:lineRule="auto"/>
              <w:rPr>
                <w:rFonts w:ascii="Calibri" w:eastAsia="Times New Roman" w:hAnsi="Calibri" w:cs="Times New Roman"/>
                <w:b/>
                <w:color w:val="FFFFFF" w:themeColor="background1"/>
                <w:lang w:eastAsia="en-GB"/>
              </w:rPr>
            </w:pPr>
            <w:r w:rsidRPr="001763AE">
              <w:rPr>
                <w:rFonts w:ascii="Calibri" w:eastAsia="Times New Roman" w:hAnsi="Calibri" w:cs="Times New Roman"/>
                <w:b/>
                <w:color w:val="FFFFFF" w:themeColor="background1"/>
                <w:lang w:eastAsia="en-GB"/>
              </w:rPr>
              <w:t> </w:t>
            </w:r>
          </w:p>
        </w:tc>
      </w:tr>
      <w:tr w:rsidR="00451BA9" w:rsidRPr="001763AE" w:rsidTr="0085137F">
        <w:trPr>
          <w:trHeight w:val="20"/>
        </w:trPr>
        <w:tc>
          <w:tcPr>
            <w:tcW w:w="647" w:type="pct"/>
            <w:tcBorders>
              <w:top w:val="single" w:sz="4" w:space="0" w:color="auto"/>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PROJECT TOTALS</w:t>
            </w:r>
          </w:p>
        </w:tc>
        <w:tc>
          <w:tcPr>
            <w:tcW w:w="615" w:type="pct"/>
            <w:gridSpan w:val="3"/>
            <w:tcBorders>
              <w:top w:val="single" w:sz="4" w:space="0" w:color="auto"/>
              <w:left w:val="nil"/>
              <w:bottom w:val="nil"/>
              <w:right w:val="nil"/>
            </w:tcBorders>
            <w:shd w:val="clear" w:color="000000" w:fill="D9D9D9"/>
            <w:noWrap/>
            <w:vAlign w:val="bottom"/>
            <w:hideMark/>
          </w:tcPr>
          <w:p w:rsidR="00451BA9" w:rsidRPr="001763AE" w:rsidRDefault="001752CF"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Planned</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$1,441,685</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$1,574,035</w:t>
            </w:r>
          </w:p>
        </w:tc>
        <w:tc>
          <w:tcPr>
            <w:tcW w:w="467"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$1,345,185</w:t>
            </w:r>
          </w:p>
        </w:tc>
        <w:tc>
          <w:tcPr>
            <w:tcW w:w="465"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$1,306,136</w:t>
            </w:r>
          </w:p>
        </w:tc>
        <w:tc>
          <w:tcPr>
            <w:tcW w:w="479"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w:t>
            </w:r>
            <w:r w:rsidR="0025256D">
              <w:rPr>
                <w:rFonts w:ascii="Calibri" w:eastAsia="Times New Roman" w:hAnsi="Calibri" w:cs="Times New Roman"/>
                <w:color w:val="000000"/>
                <w:sz w:val="20"/>
                <w:szCs w:val="20"/>
                <w:lang w:eastAsia="en-GB"/>
              </w:rPr>
              <w:t xml:space="preserve"> </w:t>
            </w:r>
          </w:p>
        </w:tc>
        <w:tc>
          <w:tcPr>
            <w:tcW w:w="528" w:type="pct"/>
            <w:tcBorders>
              <w:top w:val="single" w:sz="4" w:space="0" w:color="auto"/>
              <w:left w:val="nil"/>
              <w:bottom w:val="nil"/>
              <w:right w:val="nil"/>
            </w:tcBorders>
            <w:shd w:val="clear" w:color="000000" w:fill="D9D9D9"/>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$5,667,041</w:t>
            </w:r>
          </w:p>
        </w:tc>
        <w:tc>
          <w:tcPr>
            <w:tcW w:w="567" w:type="pct"/>
            <w:tcBorders>
              <w:top w:val="single" w:sz="4" w:space="0" w:color="auto"/>
              <w:left w:val="nil"/>
              <w:bottom w:val="nil"/>
              <w:right w:val="nil"/>
            </w:tcBorders>
          </w:tcPr>
          <w:p w:rsidR="00451BA9" w:rsidRPr="001763AE" w:rsidRDefault="00451BA9" w:rsidP="00B33D20">
            <w:pPr>
              <w:spacing w:line="240" w:lineRule="auto"/>
              <w:rPr>
                <w:rFonts w:ascii="Calibri" w:eastAsia="Times New Roman" w:hAnsi="Calibri" w:cs="Times New Roman"/>
                <w:color w:val="000000"/>
                <w:sz w:val="20"/>
                <w:szCs w:val="20"/>
                <w:lang w:eastAsia="en-GB"/>
              </w:rPr>
            </w:pPr>
          </w:p>
        </w:tc>
        <w:tc>
          <w:tcPr>
            <w:tcW w:w="302" w:type="pct"/>
            <w:tcBorders>
              <w:top w:val="single" w:sz="4" w:space="0" w:color="auto"/>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451BA9" w:rsidRPr="001763AE" w:rsidTr="0085137F">
        <w:trPr>
          <w:trHeight w:val="20"/>
        </w:trPr>
        <w:tc>
          <w:tcPr>
            <w:tcW w:w="647" w:type="pct"/>
            <w:tcBorders>
              <w:top w:val="nil"/>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w:t>
            </w:r>
          </w:p>
        </w:tc>
        <w:tc>
          <w:tcPr>
            <w:tcW w:w="615" w:type="pct"/>
            <w:gridSpan w:val="3"/>
            <w:tcBorders>
              <w:top w:val="nil"/>
              <w:left w:val="nil"/>
              <w:bottom w:val="nil"/>
              <w:right w:val="nil"/>
            </w:tcBorders>
            <w:shd w:val="clear" w:color="auto" w:fill="auto"/>
            <w:noWrap/>
            <w:vAlign w:val="bottom"/>
            <w:hideMark/>
          </w:tcPr>
          <w:p w:rsidR="00451BA9" w:rsidRPr="001763AE" w:rsidRDefault="00451BA9" w:rsidP="00E517D9">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Actual Total</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xml:space="preserve"> $61,545</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xml:space="preserve"> $2,032,252</w:t>
            </w:r>
          </w:p>
        </w:tc>
        <w:tc>
          <w:tcPr>
            <w:tcW w:w="467"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xml:space="preserve"> $1,995,854 </w:t>
            </w:r>
          </w:p>
        </w:tc>
        <w:tc>
          <w:tcPr>
            <w:tcW w:w="465" w:type="pct"/>
            <w:tcBorders>
              <w:top w:val="nil"/>
              <w:left w:val="nil"/>
              <w:bottom w:val="nil"/>
              <w:right w:val="nil"/>
            </w:tcBorders>
            <w:shd w:val="clear" w:color="auto" w:fill="auto"/>
            <w:noWrap/>
            <w:vAlign w:val="bottom"/>
            <w:hideMark/>
          </w:tcPr>
          <w:p w:rsidR="00451BA9" w:rsidRPr="001763AE" w:rsidRDefault="0085137F"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xml:space="preserve"> $910,826</w:t>
            </w:r>
            <w:r w:rsidR="00451BA9" w:rsidRPr="001763AE">
              <w:rPr>
                <w:rFonts w:ascii="Calibri" w:eastAsia="Times New Roman" w:hAnsi="Calibri" w:cs="Times New Roman"/>
                <w:b/>
                <w:bCs/>
                <w:color w:val="000000"/>
                <w:sz w:val="20"/>
                <w:szCs w:val="20"/>
                <w:lang w:eastAsia="en-GB"/>
              </w:rPr>
              <w:t xml:space="preserve"> </w:t>
            </w:r>
          </w:p>
        </w:tc>
        <w:tc>
          <w:tcPr>
            <w:tcW w:w="479"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xml:space="preserve"> $743,882 </w:t>
            </w:r>
          </w:p>
        </w:tc>
        <w:tc>
          <w:tcPr>
            <w:tcW w:w="528"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xml:space="preserve"> $5,744,360 </w:t>
            </w:r>
          </w:p>
        </w:tc>
        <w:tc>
          <w:tcPr>
            <w:tcW w:w="567" w:type="pct"/>
            <w:tcBorders>
              <w:top w:val="nil"/>
              <w:left w:val="nil"/>
              <w:bottom w:val="nil"/>
              <w:right w:val="nil"/>
            </w:tcBorders>
          </w:tcPr>
          <w:p w:rsidR="00451BA9" w:rsidRPr="001763AE" w:rsidRDefault="006C5B9C" w:rsidP="00B33D20">
            <w:pPr>
              <w:spacing w:line="240" w:lineRule="auto"/>
              <w:rPr>
                <w:rFonts w:ascii="Calibri" w:eastAsia="Times New Roman" w:hAnsi="Calibri" w:cs="Times New Roman"/>
                <w:b/>
                <w:color w:val="000000"/>
                <w:sz w:val="20"/>
                <w:szCs w:val="20"/>
                <w:lang w:eastAsia="en-GB"/>
              </w:rPr>
            </w:pPr>
            <w:r w:rsidRPr="001763AE">
              <w:rPr>
                <w:rFonts w:ascii="Calibri" w:eastAsia="Times New Roman" w:hAnsi="Calibri" w:cs="Times New Roman"/>
                <w:b/>
                <w:color w:val="000000"/>
                <w:sz w:val="20"/>
                <w:szCs w:val="20"/>
                <w:lang w:eastAsia="en-GB"/>
              </w:rPr>
              <w:t>$5,825,920</w:t>
            </w:r>
          </w:p>
        </w:tc>
        <w:tc>
          <w:tcPr>
            <w:tcW w:w="302" w:type="pct"/>
            <w:tcBorders>
              <w:top w:val="nil"/>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A12516" w:rsidRPr="001763AE" w:rsidTr="0085137F">
        <w:trPr>
          <w:trHeight w:val="20"/>
        </w:trPr>
        <w:tc>
          <w:tcPr>
            <w:tcW w:w="647" w:type="pct"/>
            <w:tcBorders>
              <w:top w:val="nil"/>
              <w:left w:val="single" w:sz="4" w:space="0" w:color="auto"/>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b/>
                <w:bCs/>
                <w:color w:val="000000"/>
                <w:sz w:val="20"/>
                <w:szCs w:val="20"/>
                <w:lang w:eastAsia="en-GB"/>
              </w:rPr>
            </w:pPr>
            <w:r w:rsidRPr="001763AE">
              <w:rPr>
                <w:rFonts w:ascii="Calibri" w:eastAsia="Times New Roman" w:hAnsi="Calibri" w:cs="Times New Roman"/>
                <w:b/>
                <w:bCs/>
                <w:color w:val="000000"/>
                <w:sz w:val="20"/>
                <w:szCs w:val="20"/>
                <w:lang w:eastAsia="en-GB"/>
              </w:rPr>
              <w:t> </w:t>
            </w:r>
          </w:p>
        </w:tc>
        <w:tc>
          <w:tcPr>
            <w:tcW w:w="329" w:type="pct"/>
            <w:tcBorders>
              <w:top w:val="nil"/>
              <w:left w:val="nil"/>
              <w:bottom w:val="nil"/>
              <w:right w:val="nil"/>
            </w:tcBorders>
            <w:shd w:val="clear" w:color="auto" w:fill="auto"/>
            <w:noWrap/>
            <w:vAlign w:val="bottom"/>
            <w:hideMark/>
          </w:tcPr>
          <w:p w:rsidR="00451BA9" w:rsidRPr="001763AE" w:rsidRDefault="00451BA9" w:rsidP="00E517D9">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xml:space="preserve"> </w:t>
            </w:r>
          </w:p>
        </w:tc>
        <w:tc>
          <w:tcPr>
            <w:tcW w:w="286" w:type="pct"/>
            <w:gridSpan w:val="2"/>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Cash</w:t>
            </w:r>
          </w:p>
        </w:tc>
        <w:tc>
          <w:tcPr>
            <w:tcW w:w="465" w:type="pct"/>
            <w:tcBorders>
              <w:top w:val="nil"/>
              <w:left w:val="nil"/>
              <w:bottom w:val="nil"/>
              <w:right w:val="nil"/>
            </w:tcBorders>
            <w:shd w:val="clear" w:color="auto" w:fill="auto"/>
            <w:noWrap/>
            <w:vAlign w:val="bottom"/>
            <w:hideMark/>
          </w:tcPr>
          <w:p w:rsidR="00451BA9" w:rsidRPr="001763AE" w:rsidRDefault="0085137F"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$40,548</w:t>
            </w:r>
            <w:r w:rsidR="00451BA9" w:rsidRPr="001763AE">
              <w:rPr>
                <w:rFonts w:ascii="Calibri" w:eastAsia="Times New Roman" w:hAnsi="Calibri" w:cs="Times New Roman"/>
                <w:i/>
                <w:iCs/>
                <w:color w:val="000000"/>
                <w:sz w:val="20"/>
                <w:szCs w:val="20"/>
                <w:lang w:eastAsia="en-GB"/>
              </w:rPr>
              <w:t xml:space="preserve"> </w:t>
            </w:r>
          </w:p>
        </w:tc>
        <w:tc>
          <w:tcPr>
            <w:tcW w:w="465"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$273,752.49 </w:t>
            </w:r>
          </w:p>
        </w:tc>
        <w:tc>
          <w:tcPr>
            <w:tcW w:w="467"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$236,984.43 </w:t>
            </w:r>
          </w:p>
        </w:tc>
        <w:tc>
          <w:tcPr>
            <w:tcW w:w="465" w:type="pct"/>
            <w:tcBorders>
              <w:top w:val="nil"/>
              <w:left w:val="nil"/>
              <w:bottom w:val="nil"/>
              <w:right w:val="nil"/>
            </w:tcBorders>
            <w:shd w:val="clear" w:color="auto" w:fill="auto"/>
            <w:noWrap/>
            <w:vAlign w:val="bottom"/>
            <w:hideMark/>
          </w:tcPr>
          <w:p w:rsidR="00451BA9" w:rsidRPr="001763AE" w:rsidRDefault="0085137F"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$303,273</w:t>
            </w:r>
          </w:p>
        </w:tc>
        <w:tc>
          <w:tcPr>
            <w:tcW w:w="479"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$33,882</w:t>
            </w:r>
          </w:p>
        </w:tc>
        <w:tc>
          <w:tcPr>
            <w:tcW w:w="528" w:type="pct"/>
            <w:tcBorders>
              <w:top w:val="nil"/>
              <w:left w:val="nil"/>
              <w:bottom w:val="nil"/>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$888,440</w:t>
            </w:r>
          </w:p>
        </w:tc>
        <w:tc>
          <w:tcPr>
            <w:tcW w:w="567" w:type="pct"/>
            <w:tcBorders>
              <w:top w:val="nil"/>
              <w:left w:val="nil"/>
              <w:bottom w:val="nil"/>
              <w:right w:val="nil"/>
            </w:tcBorders>
          </w:tcPr>
          <w:p w:rsidR="00451BA9" w:rsidRPr="001763AE" w:rsidRDefault="006C5B9C"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$970,000</w:t>
            </w:r>
          </w:p>
        </w:tc>
        <w:tc>
          <w:tcPr>
            <w:tcW w:w="302" w:type="pct"/>
            <w:tcBorders>
              <w:top w:val="nil"/>
              <w:left w:val="nil"/>
              <w:bottom w:val="nil"/>
              <w:right w:val="single" w:sz="4" w:space="0" w:color="auto"/>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r>
      <w:tr w:rsidR="00A12516" w:rsidRPr="001763AE" w:rsidTr="0085137F">
        <w:trPr>
          <w:trHeight w:val="20"/>
        </w:trPr>
        <w:tc>
          <w:tcPr>
            <w:tcW w:w="647" w:type="pct"/>
            <w:tcBorders>
              <w:top w:val="nil"/>
              <w:left w:val="single" w:sz="4" w:space="0" w:color="auto"/>
              <w:bottom w:val="single" w:sz="4" w:space="0" w:color="auto"/>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c>
          <w:tcPr>
            <w:tcW w:w="329" w:type="pct"/>
            <w:tcBorders>
              <w:top w:val="nil"/>
              <w:left w:val="nil"/>
              <w:bottom w:val="single" w:sz="4" w:space="0" w:color="auto"/>
              <w:right w:val="nil"/>
            </w:tcBorders>
            <w:shd w:val="clear" w:color="auto" w:fill="auto"/>
            <w:noWrap/>
            <w:vAlign w:val="bottom"/>
            <w:hideMark/>
          </w:tcPr>
          <w:p w:rsidR="00451BA9" w:rsidRPr="001763AE" w:rsidRDefault="00451BA9" w:rsidP="00E517D9">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 </w:t>
            </w:r>
          </w:p>
        </w:tc>
        <w:tc>
          <w:tcPr>
            <w:tcW w:w="286" w:type="pct"/>
            <w:gridSpan w:val="2"/>
            <w:tcBorders>
              <w:top w:val="nil"/>
              <w:left w:val="nil"/>
              <w:bottom w:val="single" w:sz="4" w:space="0" w:color="auto"/>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In Kind</w:t>
            </w:r>
          </w:p>
        </w:tc>
        <w:tc>
          <w:tcPr>
            <w:tcW w:w="465" w:type="pct"/>
            <w:tcBorders>
              <w:top w:val="nil"/>
              <w:left w:val="nil"/>
              <w:bottom w:val="single" w:sz="4" w:space="0" w:color="auto"/>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$20,997</w:t>
            </w:r>
          </w:p>
        </w:tc>
        <w:tc>
          <w:tcPr>
            <w:tcW w:w="465" w:type="pct"/>
            <w:tcBorders>
              <w:top w:val="nil"/>
              <w:left w:val="nil"/>
              <w:bottom w:val="single" w:sz="4" w:space="0" w:color="auto"/>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$1,758,500</w:t>
            </w:r>
          </w:p>
        </w:tc>
        <w:tc>
          <w:tcPr>
            <w:tcW w:w="467" w:type="pct"/>
            <w:tcBorders>
              <w:top w:val="nil"/>
              <w:left w:val="nil"/>
              <w:bottom w:val="single" w:sz="4" w:space="0" w:color="auto"/>
              <w:right w:val="nil"/>
            </w:tcBorders>
            <w:shd w:val="clear" w:color="auto" w:fill="auto"/>
            <w:noWrap/>
            <w:vAlign w:val="bottom"/>
            <w:hideMark/>
          </w:tcPr>
          <w:p w:rsidR="00451BA9" w:rsidRPr="001763AE" w:rsidRDefault="0085137F"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$1,758,870</w:t>
            </w:r>
            <w:r w:rsidR="00451BA9" w:rsidRPr="001763AE">
              <w:rPr>
                <w:rFonts w:ascii="Calibri" w:eastAsia="Times New Roman" w:hAnsi="Calibri" w:cs="Times New Roman"/>
                <w:i/>
                <w:iCs/>
                <w:color w:val="000000"/>
                <w:sz w:val="20"/>
                <w:szCs w:val="20"/>
                <w:lang w:eastAsia="en-GB"/>
              </w:rPr>
              <w:t xml:space="preserve"> </w:t>
            </w:r>
          </w:p>
        </w:tc>
        <w:tc>
          <w:tcPr>
            <w:tcW w:w="465" w:type="pct"/>
            <w:tcBorders>
              <w:top w:val="nil"/>
              <w:left w:val="nil"/>
              <w:bottom w:val="single" w:sz="4" w:space="0" w:color="auto"/>
              <w:right w:val="nil"/>
            </w:tcBorders>
            <w:shd w:val="clear" w:color="auto" w:fill="auto"/>
            <w:noWrap/>
            <w:vAlign w:val="bottom"/>
            <w:hideMark/>
          </w:tcPr>
          <w:p w:rsidR="00451BA9" w:rsidRPr="001763AE" w:rsidRDefault="00451BA9" w:rsidP="0085137F">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$607,553 </w:t>
            </w:r>
          </w:p>
        </w:tc>
        <w:tc>
          <w:tcPr>
            <w:tcW w:w="479" w:type="pct"/>
            <w:tcBorders>
              <w:top w:val="nil"/>
              <w:left w:val="nil"/>
              <w:bottom w:val="single" w:sz="4" w:space="0" w:color="auto"/>
              <w:right w:val="nil"/>
            </w:tcBorders>
            <w:shd w:val="clear" w:color="auto" w:fill="auto"/>
            <w:noWrap/>
            <w:vAlign w:val="bottom"/>
            <w:hideMark/>
          </w:tcPr>
          <w:p w:rsidR="00451BA9" w:rsidRPr="001763AE" w:rsidRDefault="00451BA9"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$710,000</w:t>
            </w:r>
          </w:p>
        </w:tc>
        <w:tc>
          <w:tcPr>
            <w:tcW w:w="528" w:type="pct"/>
            <w:tcBorders>
              <w:top w:val="nil"/>
              <w:left w:val="nil"/>
              <w:bottom w:val="single" w:sz="4" w:space="0" w:color="auto"/>
              <w:right w:val="nil"/>
            </w:tcBorders>
            <w:shd w:val="clear" w:color="auto" w:fill="auto"/>
            <w:noWrap/>
            <w:vAlign w:val="bottom"/>
            <w:hideMark/>
          </w:tcPr>
          <w:p w:rsidR="00451BA9" w:rsidRPr="001763AE" w:rsidRDefault="0085137F" w:rsidP="00B33D20">
            <w:pPr>
              <w:spacing w:line="240" w:lineRule="auto"/>
              <w:rPr>
                <w:rFonts w:ascii="Calibri" w:eastAsia="Times New Roman" w:hAnsi="Calibri" w:cs="Times New Roman"/>
                <w:i/>
                <w:iCs/>
                <w:color w:val="000000"/>
                <w:sz w:val="20"/>
                <w:szCs w:val="20"/>
                <w:lang w:eastAsia="en-GB"/>
              </w:rPr>
            </w:pPr>
            <w:r w:rsidRPr="001763AE">
              <w:rPr>
                <w:rFonts w:ascii="Calibri" w:eastAsia="Times New Roman" w:hAnsi="Calibri" w:cs="Times New Roman"/>
                <w:i/>
                <w:iCs/>
                <w:color w:val="000000"/>
                <w:sz w:val="20"/>
                <w:szCs w:val="20"/>
                <w:lang w:eastAsia="en-GB"/>
              </w:rPr>
              <w:t xml:space="preserve"> $4,855,920</w:t>
            </w:r>
          </w:p>
        </w:tc>
        <w:tc>
          <w:tcPr>
            <w:tcW w:w="567" w:type="pct"/>
            <w:tcBorders>
              <w:top w:val="nil"/>
              <w:left w:val="nil"/>
              <w:bottom w:val="single" w:sz="4" w:space="0" w:color="auto"/>
              <w:right w:val="nil"/>
            </w:tcBorders>
          </w:tcPr>
          <w:p w:rsidR="00451BA9" w:rsidRPr="001763AE" w:rsidRDefault="006C5B9C" w:rsidP="00B33D20">
            <w:pPr>
              <w:spacing w:line="240" w:lineRule="auto"/>
              <w:rPr>
                <w:rFonts w:ascii="Calibri" w:eastAsia="Times New Roman" w:hAnsi="Calibri" w:cs="Times New Roman"/>
                <w:color w:val="000000"/>
                <w:sz w:val="20"/>
                <w:szCs w:val="20"/>
                <w:lang w:eastAsia="en-GB"/>
              </w:rPr>
            </w:pPr>
            <w:r w:rsidRPr="001763AE">
              <w:rPr>
                <w:rFonts w:ascii="Calibri" w:eastAsia="Times New Roman" w:hAnsi="Calibri" w:cs="Times New Roman"/>
                <w:color w:val="000000"/>
                <w:sz w:val="20"/>
                <w:szCs w:val="20"/>
                <w:lang w:eastAsia="en-GB"/>
              </w:rPr>
              <w:t>$4,855,920</w:t>
            </w:r>
          </w:p>
        </w:tc>
        <w:tc>
          <w:tcPr>
            <w:tcW w:w="302" w:type="pct"/>
            <w:tcBorders>
              <w:top w:val="nil"/>
              <w:left w:val="nil"/>
              <w:bottom w:val="single" w:sz="4" w:space="0" w:color="auto"/>
              <w:right w:val="single" w:sz="4" w:space="0" w:color="auto"/>
            </w:tcBorders>
            <w:shd w:val="clear" w:color="auto" w:fill="auto"/>
            <w:noWrap/>
            <w:vAlign w:val="bottom"/>
            <w:hideMark/>
          </w:tcPr>
          <w:p w:rsidR="00451BA9" w:rsidRPr="001763AE" w:rsidRDefault="0025256D" w:rsidP="00B33D20">
            <w:pPr>
              <w:spacing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w:t>
            </w:r>
          </w:p>
        </w:tc>
      </w:tr>
    </w:tbl>
    <w:p w:rsidR="00B33D20" w:rsidRPr="001763AE" w:rsidRDefault="00B33D20" w:rsidP="00646CD1">
      <w:pPr>
        <w:pStyle w:val="Heading4"/>
        <w:sectPr w:rsidR="00B33D20" w:rsidRPr="001763AE" w:rsidSect="00B33D20">
          <w:pgSz w:w="16839" w:h="11907" w:orient="landscape" w:code="9"/>
          <w:pgMar w:top="927" w:right="1260" w:bottom="1170" w:left="720" w:header="708" w:footer="708" w:gutter="0"/>
          <w:cols w:space="708"/>
          <w:docGrid w:linePitch="360"/>
        </w:sectPr>
      </w:pPr>
    </w:p>
    <w:p w:rsidR="000E3CD5" w:rsidRPr="001763AE" w:rsidRDefault="000E3CD5" w:rsidP="00235F76">
      <w:pPr>
        <w:pStyle w:val="Heading2"/>
        <w:numPr>
          <w:ilvl w:val="0"/>
          <w:numId w:val="0"/>
        </w:numPr>
        <w:ind w:left="576" w:hanging="576"/>
      </w:pPr>
      <w:bookmarkStart w:id="15" w:name="_Ref391282099"/>
      <w:bookmarkStart w:id="16" w:name="_Ref391799374"/>
      <w:bookmarkStart w:id="17" w:name="_Ref391806525"/>
      <w:bookmarkStart w:id="18" w:name="_Toc396725227"/>
      <w:r w:rsidRPr="001763AE">
        <w:lastRenderedPageBreak/>
        <w:t>Project Results</w:t>
      </w:r>
      <w:bookmarkEnd w:id="15"/>
      <w:bookmarkEnd w:id="16"/>
      <w:bookmarkEnd w:id="17"/>
      <w:bookmarkEnd w:id="18"/>
    </w:p>
    <w:p w:rsidR="00427F20" w:rsidRPr="001763AE" w:rsidRDefault="00AE5D8F" w:rsidP="00235F76">
      <w:pPr>
        <w:pStyle w:val="NumberedPara"/>
        <w:numPr>
          <w:ilvl w:val="0"/>
          <w:numId w:val="0"/>
        </w:numPr>
      </w:pPr>
      <w:r w:rsidRPr="001763AE">
        <w:t xml:space="preserve">The ratings </w:t>
      </w:r>
      <w:r w:rsidR="00940762" w:rsidRPr="001763AE">
        <w:t xml:space="preserve">in the summary tables in this section are based </w:t>
      </w:r>
      <w:r w:rsidRPr="001763AE">
        <w:t xml:space="preserve">in part </w:t>
      </w:r>
      <w:r w:rsidR="00940762" w:rsidRPr="001763AE">
        <w:t xml:space="preserve">on the </w:t>
      </w:r>
      <w:r w:rsidRPr="001763AE">
        <w:t>official indicators</w:t>
      </w:r>
      <w:r w:rsidR="00940762" w:rsidRPr="001763AE">
        <w:t xml:space="preserve">, but also take into account </w:t>
      </w:r>
      <w:r w:rsidR="00195895" w:rsidRPr="001763AE">
        <w:t>a wider assessment</w:t>
      </w:r>
      <w:r w:rsidR="00940762" w:rsidRPr="001763AE">
        <w:t xml:space="preserve"> by the evaluator</w:t>
      </w:r>
      <w:r w:rsidR="00195895" w:rsidRPr="001763AE">
        <w:t xml:space="preserve">, </w:t>
      </w:r>
      <w:r w:rsidR="00D6563C" w:rsidRPr="001763AE">
        <w:t xml:space="preserve">based on </w:t>
      </w:r>
      <w:r w:rsidR="00940762" w:rsidRPr="001763AE">
        <w:t>information gathered during the mission</w:t>
      </w:r>
      <w:r w:rsidR="00195895" w:rsidRPr="001763AE">
        <w:t xml:space="preserve">, </w:t>
      </w:r>
      <w:r w:rsidR="00D6563C" w:rsidRPr="001763AE">
        <w:t xml:space="preserve">additional unplanned </w:t>
      </w:r>
      <w:r w:rsidR="00195895" w:rsidRPr="001763AE">
        <w:t>activities and outputs</w:t>
      </w:r>
      <w:r w:rsidR="003252F1">
        <w:t xml:space="preserve"> from the project</w:t>
      </w:r>
      <w:r w:rsidR="00D6563C" w:rsidRPr="001763AE">
        <w:t>,</w:t>
      </w:r>
      <w:r w:rsidR="00F35158" w:rsidRPr="001763AE">
        <w:t xml:space="preserve"> and an overall assessment</w:t>
      </w:r>
      <w:r w:rsidR="00940762" w:rsidRPr="001763AE">
        <w:t xml:space="preserve"> of the extent to which</w:t>
      </w:r>
      <w:r w:rsidR="00F35158" w:rsidRPr="001763AE">
        <w:t xml:space="preserve"> each component has achieved its</w:t>
      </w:r>
      <w:r w:rsidR="00940762" w:rsidRPr="001763AE">
        <w:t xml:space="preserve"> stated outcome</w:t>
      </w:r>
      <w:r w:rsidR="00427F20" w:rsidRPr="001763AE">
        <w:t>.</w:t>
      </w:r>
    </w:p>
    <w:p w:rsidR="005F4EAE" w:rsidRDefault="00D6563C" w:rsidP="00235F76">
      <w:pPr>
        <w:pStyle w:val="Heading3"/>
        <w:numPr>
          <w:ilvl w:val="0"/>
          <w:numId w:val="0"/>
        </w:numPr>
        <w:ind w:left="720" w:hanging="720"/>
      </w:pPr>
      <w:bookmarkStart w:id="19" w:name="_Toc396725228"/>
      <w:bookmarkStart w:id="20" w:name="_Ref394237416"/>
      <w:r w:rsidRPr="001763AE">
        <w:t xml:space="preserve">Evaluation of achievement of the </w:t>
      </w:r>
      <w:r w:rsidR="005F4EAE">
        <w:t>Project Objective</w:t>
      </w:r>
      <w:bookmarkEnd w:id="19"/>
    </w:p>
    <w:p w:rsidR="00940762" w:rsidRPr="005F4EAE" w:rsidRDefault="005F4EAE" w:rsidP="005F4EAE">
      <w:pPr>
        <w:rPr>
          <w:b/>
        </w:rPr>
      </w:pPr>
      <w:r w:rsidRPr="005F4EAE">
        <w:rPr>
          <w:b/>
        </w:rPr>
        <w:t>‘T</w:t>
      </w:r>
      <w:r w:rsidR="00940762" w:rsidRPr="005F4EAE">
        <w:rPr>
          <w:b/>
        </w:rPr>
        <w:t>o secure the financial sustainability of Romania’s Carpathian</w:t>
      </w:r>
      <w:r w:rsidR="002D4972" w:rsidRPr="005F4EAE">
        <w:rPr>
          <w:b/>
        </w:rPr>
        <w:t xml:space="preserve"> network of PAs, as a model for </w:t>
      </w:r>
      <w:r w:rsidR="00940762" w:rsidRPr="005F4EAE">
        <w:rPr>
          <w:b/>
        </w:rPr>
        <w:t>replication to the entire Carpa</w:t>
      </w:r>
      <w:r w:rsidRPr="005F4EAE">
        <w:rPr>
          <w:b/>
        </w:rPr>
        <w:t>thian Network of Protected Area</w:t>
      </w:r>
      <w:r>
        <w:rPr>
          <w:b/>
        </w:rPr>
        <w:t>s</w:t>
      </w:r>
      <w:r w:rsidRPr="005F4EAE">
        <w:rPr>
          <w:b/>
        </w:rPr>
        <w:t>’</w:t>
      </w:r>
      <w:r w:rsidR="00532556" w:rsidRPr="005F4EAE">
        <w:rPr>
          <w:b/>
        </w:rPr>
        <w:t>.</w:t>
      </w:r>
      <w:bookmarkEnd w:id="20"/>
    </w:p>
    <w:p w:rsidR="00427F20" w:rsidRDefault="00D6563C" w:rsidP="00235F76">
      <w:pPr>
        <w:pStyle w:val="NumberedPara"/>
        <w:numPr>
          <w:ilvl w:val="0"/>
          <w:numId w:val="0"/>
        </w:numPr>
      </w:pPr>
      <w:r w:rsidRPr="001763AE">
        <w:t xml:space="preserve">Achievement </w:t>
      </w:r>
      <w:r w:rsidR="00940762" w:rsidRPr="001763AE">
        <w:t xml:space="preserve">of the </w:t>
      </w:r>
      <w:r w:rsidR="00F26A6B" w:rsidRPr="001763AE">
        <w:t xml:space="preserve">overall project objective </w:t>
      </w:r>
      <w:r w:rsidR="002A27F5">
        <w:t>has had moderate</w:t>
      </w:r>
      <w:r w:rsidR="00532556" w:rsidRPr="001763AE">
        <w:t xml:space="preserve"> shortcomings and </w:t>
      </w:r>
      <w:r w:rsidR="002F5A9A">
        <w:t xml:space="preserve">is therefore evaluated as </w:t>
      </w:r>
      <w:r w:rsidR="00B12D27" w:rsidRPr="00455B5A">
        <w:rPr>
          <w:b/>
        </w:rPr>
        <w:t>Moderately</w:t>
      </w:r>
      <w:r w:rsidR="00E52F90" w:rsidRPr="00455B5A">
        <w:rPr>
          <w:b/>
        </w:rPr>
        <w:t xml:space="preserve"> S</w:t>
      </w:r>
      <w:r w:rsidR="00B12D27" w:rsidRPr="00455B5A">
        <w:rPr>
          <w:b/>
        </w:rPr>
        <w:t>atisfactory</w:t>
      </w:r>
      <w:r w:rsidR="00455B5A">
        <w:rPr>
          <w:b/>
        </w:rPr>
        <w:t xml:space="preserve"> (MS)</w:t>
      </w:r>
      <w:r w:rsidR="00532556" w:rsidRPr="001763AE">
        <w:rPr>
          <w:b/>
          <w:i/>
        </w:rPr>
        <w:t xml:space="preserve"> </w:t>
      </w:r>
      <w:r w:rsidR="00940762" w:rsidRPr="001763AE">
        <w:t>(see</w:t>
      </w:r>
      <w:r w:rsidR="00B12D27" w:rsidRPr="001763AE">
        <w:t xml:space="preserve"> </w:t>
      </w:r>
      <w:r w:rsidR="00217E75" w:rsidRPr="001763AE">
        <w:fldChar w:fldCharType="begin"/>
      </w:r>
      <w:r w:rsidR="00B12D27" w:rsidRPr="001763AE">
        <w:instrText xml:space="preserve"> REF _Ref391308331 \h </w:instrText>
      </w:r>
      <w:r w:rsidR="00217E75" w:rsidRPr="001763AE">
        <w:fldChar w:fldCharType="separate"/>
      </w:r>
      <w:r w:rsidR="00D406FE" w:rsidRPr="001763AE">
        <w:t xml:space="preserve">Table </w:t>
      </w:r>
      <w:r w:rsidR="00D406FE">
        <w:rPr>
          <w:noProof/>
        </w:rPr>
        <w:t>14</w:t>
      </w:r>
      <w:r w:rsidR="00217E75" w:rsidRPr="001763AE">
        <w:fldChar w:fldCharType="end"/>
      </w:r>
      <w:r w:rsidR="009756E3" w:rsidRPr="001763AE">
        <w:t>)</w:t>
      </w:r>
      <w:r w:rsidR="00427F20" w:rsidRPr="001763AE">
        <w:t xml:space="preserve">. </w:t>
      </w:r>
      <w:r w:rsidRPr="001763AE">
        <w:t>T</w:t>
      </w:r>
      <w:r w:rsidR="00670653" w:rsidRPr="001763AE">
        <w:t xml:space="preserve">he financial sustainability of Romania’s Carpathian protected areas </w:t>
      </w:r>
      <w:r w:rsidRPr="001763AE">
        <w:t xml:space="preserve">cannot be said to have been </w:t>
      </w:r>
      <w:r w:rsidR="00670653" w:rsidRPr="001763AE">
        <w:t xml:space="preserve">secured, although </w:t>
      </w:r>
      <w:r w:rsidR="004B09E3">
        <w:t>good</w:t>
      </w:r>
      <w:r w:rsidR="00670653" w:rsidRPr="001763AE">
        <w:t xml:space="preserve"> progress has been made in developing a foundation for sustainability and in mobilising significant short</w:t>
      </w:r>
      <w:r w:rsidR="00E52F90" w:rsidRPr="001763AE">
        <w:t xml:space="preserve"> to medium </w:t>
      </w:r>
      <w:r w:rsidR="00670653" w:rsidRPr="001763AE">
        <w:t>term project funding for protected areas</w:t>
      </w:r>
      <w:r w:rsidR="002A27F5">
        <w:t>.</w:t>
      </w:r>
    </w:p>
    <w:p w:rsidR="0025256D" w:rsidRDefault="00940762" w:rsidP="002F5A9A">
      <w:pPr>
        <w:pStyle w:val="Caption"/>
      </w:pPr>
      <w:bookmarkStart w:id="21" w:name="_Ref391308331"/>
      <w:r w:rsidRPr="001763AE">
        <w:t xml:space="preserve">Table </w:t>
      </w:r>
      <w:r w:rsidR="00C072C9">
        <w:fldChar w:fldCharType="begin"/>
      </w:r>
      <w:r w:rsidR="00C072C9">
        <w:instrText xml:space="preserve"> SEQ Table \* ARABIC </w:instrText>
      </w:r>
      <w:r w:rsidR="00C072C9">
        <w:fldChar w:fldCharType="separate"/>
      </w:r>
      <w:r w:rsidR="00D406FE">
        <w:rPr>
          <w:noProof/>
        </w:rPr>
        <w:t>14</w:t>
      </w:r>
      <w:r w:rsidR="00C072C9">
        <w:rPr>
          <w:noProof/>
        </w:rPr>
        <w:fldChar w:fldCharType="end"/>
      </w:r>
      <w:bookmarkEnd w:id="21"/>
      <w:r w:rsidRPr="001763AE">
        <w:t xml:space="preserve"> Summary of results based on indicators for the project objective</w:t>
      </w:r>
      <w:r w:rsidR="00DF5E8C" w:rsidRPr="001763AE">
        <w:t>.</w:t>
      </w:r>
    </w:p>
    <w:p w:rsidR="00DF5E8C" w:rsidRPr="001763AE" w:rsidRDefault="00DF5E8C" w:rsidP="00DF5E8C">
      <w:pPr>
        <w:jc w:val="center"/>
        <w:rPr>
          <w:sz w:val="20"/>
          <w:szCs w:val="20"/>
        </w:rPr>
      </w:pPr>
      <w:r w:rsidRPr="001763AE">
        <w:rPr>
          <w:sz w:val="20"/>
          <w:szCs w:val="20"/>
        </w:rPr>
        <w:t>Rating scale used: Highly Satisfactory (HS); Satisfactory (S); Moderately Satisfactory (MS); Moderately Unsatisfactory (MU); Unsatisfactory (U); Highly Unsatisfactory (HU); Unable to Assess (U/A)</w:t>
      </w:r>
    </w:p>
    <w:tbl>
      <w:tblPr>
        <w:tblStyle w:val="BasicReportTable"/>
        <w:tblW w:w="5000" w:type="pct"/>
        <w:tblCellMar>
          <w:left w:w="57" w:type="dxa"/>
          <w:right w:w="57" w:type="dxa"/>
        </w:tblCellMar>
        <w:tblLook w:val="04A0" w:firstRow="1" w:lastRow="0" w:firstColumn="1" w:lastColumn="0" w:noHBand="0" w:noVBand="1"/>
      </w:tblPr>
      <w:tblGrid>
        <w:gridCol w:w="1863"/>
        <w:gridCol w:w="1320"/>
        <w:gridCol w:w="1831"/>
        <w:gridCol w:w="1084"/>
        <w:gridCol w:w="1938"/>
        <w:gridCol w:w="981"/>
        <w:gridCol w:w="736"/>
      </w:tblGrid>
      <w:tr w:rsidR="00F26A6B" w:rsidRPr="001763AE" w:rsidTr="00556E42">
        <w:trPr>
          <w:cnfStyle w:val="100000000000" w:firstRow="1" w:lastRow="0" w:firstColumn="0" w:lastColumn="0" w:oddVBand="0" w:evenVBand="0" w:oddHBand="0" w:evenHBand="0" w:firstRowFirstColumn="0" w:firstRowLastColumn="0" w:lastRowFirstColumn="0" w:lastRowLastColumn="0"/>
        </w:trPr>
        <w:tc>
          <w:tcPr>
            <w:tcW w:w="980" w:type="pct"/>
          </w:tcPr>
          <w:p w:rsidR="00F26A6B" w:rsidRPr="001763AE" w:rsidRDefault="001846FB" w:rsidP="000D5CB2">
            <w:pPr>
              <w:rPr>
                <w:rFonts w:cs="Times New Roman"/>
                <w:sz w:val="18"/>
                <w:szCs w:val="18"/>
              </w:rPr>
            </w:pPr>
            <w:r w:rsidRPr="001763AE">
              <w:rPr>
                <w:rFonts w:cs="Times New Roman"/>
                <w:sz w:val="18"/>
                <w:szCs w:val="18"/>
              </w:rPr>
              <w:t>Ov</w:t>
            </w:r>
            <w:r w:rsidR="00F26A6B" w:rsidRPr="001763AE">
              <w:rPr>
                <w:rFonts w:cs="Times New Roman"/>
                <w:sz w:val="18"/>
                <w:szCs w:val="18"/>
              </w:rPr>
              <w:t>erall objective</w:t>
            </w:r>
          </w:p>
        </w:tc>
        <w:tc>
          <w:tcPr>
            <w:tcW w:w="702" w:type="pct"/>
          </w:tcPr>
          <w:p w:rsidR="00F26A6B" w:rsidRPr="001763AE" w:rsidRDefault="00F26A6B" w:rsidP="000D5CB2">
            <w:pPr>
              <w:rPr>
                <w:rFonts w:cs="Times New Roman"/>
                <w:sz w:val="18"/>
                <w:szCs w:val="18"/>
              </w:rPr>
            </w:pPr>
            <w:r w:rsidRPr="001763AE">
              <w:rPr>
                <w:rFonts w:cs="Times New Roman"/>
                <w:sz w:val="18"/>
                <w:szCs w:val="18"/>
              </w:rPr>
              <w:t>Indicators</w:t>
            </w:r>
          </w:p>
        </w:tc>
        <w:tc>
          <w:tcPr>
            <w:tcW w:w="964" w:type="pct"/>
          </w:tcPr>
          <w:p w:rsidR="00F26A6B" w:rsidRPr="001763AE" w:rsidRDefault="00F26A6B" w:rsidP="000D5CB2">
            <w:pPr>
              <w:rPr>
                <w:rFonts w:cs="Times New Roman"/>
                <w:sz w:val="18"/>
                <w:szCs w:val="18"/>
              </w:rPr>
            </w:pPr>
            <w:r w:rsidRPr="001763AE">
              <w:rPr>
                <w:rFonts w:cs="Times New Roman"/>
                <w:sz w:val="18"/>
                <w:szCs w:val="18"/>
              </w:rPr>
              <w:t>Baseline measure</w:t>
            </w:r>
          </w:p>
        </w:tc>
        <w:tc>
          <w:tcPr>
            <w:tcW w:w="581" w:type="pct"/>
          </w:tcPr>
          <w:p w:rsidR="00F26A6B" w:rsidRPr="001763AE" w:rsidRDefault="00F26A6B" w:rsidP="000D5CB2">
            <w:pPr>
              <w:rPr>
                <w:rFonts w:cs="Times New Roman"/>
                <w:sz w:val="18"/>
                <w:szCs w:val="18"/>
              </w:rPr>
            </w:pPr>
            <w:r w:rsidRPr="001763AE">
              <w:rPr>
                <w:rFonts w:cs="Times New Roman"/>
                <w:sz w:val="18"/>
                <w:szCs w:val="18"/>
              </w:rPr>
              <w:t>Target</w:t>
            </w:r>
          </w:p>
        </w:tc>
        <w:tc>
          <w:tcPr>
            <w:tcW w:w="1018" w:type="pct"/>
          </w:tcPr>
          <w:p w:rsidR="00F26A6B" w:rsidRPr="001763AE" w:rsidRDefault="00F26A6B" w:rsidP="000D5CB2">
            <w:pPr>
              <w:rPr>
                <w:rFonts w:cs="Times New Roman"/>
                <w:sz w:val="18"/>
                <w:szCs w:val="18"/>
              </w:rPr>
            </w:pPr>
            <w:r w:rsidRPr="001763AE">
              <w:rPr>
                <w:rFonts w:cs="Times New Roman"/>
                <w:sz w:val="18"/>
                <w:szCs w:val="18"/>
              </w:rPr>
              <w:t>Final measure</w:t>
            </w:r>
          </w:p>
        </w:tc>
        <w:tc>
          <w:tcPr>
            <w:tcW w:w="353" w:type="pct"/>
          </w:tcPr>
          <w:p w:rsidR="00F26A6B" w:rsidRPr="001763AE" w:rsidRDefault="00F26A6B" w:rsidP="000D5CB2">
            <w:pPr>
              <w:rPr>
                <w:rFonts w:cs="Times New Roman"/>
                <w:sz w:val="18"/>
                <w:szCs w:val="18"/>
              </w:rPr>
            </w:pPr>
            <w:r w:rsidRPr="001763AE">
              <w:rPr>
                <w:rFonts w:cs="Times New Roman"/>
                <w:sz w:val="18"/>
                <w:szCs w:val="18"/>
              </w:rPr>
              <w:t>Rating</w:t>
            </w:r>
          </w:p>
        </w:tc>
        <w:tc>
          <w:tcPr>
            <w:tcW w:w="402" w:type="pct"/>
          </w:tcPr>
          <w:p w:rsidR="00F26A6B" w:rsidRPr="001763AE" w:rsidRDefault="00F26A6B" w:rsidP="000D5CB2">
            <w:pPr>
              <w:rPr>
                <w:rFonts w:cs="Times New Roman"/>
                <w:sz w:val="18"/>
                <w:szCs w:val="18"/>
              </w:rPr>
            </w:pPr>
            <w:r w:rsidRPr="001763AE">
              <w:rPr>
                <w:rFonts w:cs="Times New Roman"/>
                <w:sz w:val="18"/>
                <w:szCs w:val="18"/>
              </w:rPr>
              <w:t xml:space="preserve">Overall Rating </w:t>
            </w:r>
          </w:p>
        </w:tc>
      </w:tr>
      <w:tr w:rsidR="00F26A6B" w:rsidRPr="001763AE" w:rsidTr="00556E42">
        <w:trPr>
          <w:trHeight w:val="779"/>
        </w:trPr>
        <w:tc>
          <w:tcPr>
            <w:tcW w:w="980" w:type="pct"/>
            <w:vMerge w:val="restart"/>
            <w:vAlign w:val="center"/>
          </w:tcPr>
          <w:p w:rsidR="00F26A6B" w:rsidRPr="001763AE" w:rsidRDefault="00F26A6B" w:rsidP="00F26A6B">
            <w:pPr>
              <w:rPr>
                <w:rFonts w:cs="Times New Roman"/>
                <w:b/>
                <w:sz w:val="18"/>
                <w:szCs w:val="18"/>
              </w:rPr>
            </w:pPr>
            <w:r w:rsidRPr="001763AE">
              <w:rPr>
                <w:b/>
              </w:rPr>
              <w:t>To secure the financial sustainability of Romania’s Carpathian network of PAs, as a model for replication to the entire Carpathian Network of Protected Areas (CNPA)</w:t>
            </w:r>
          </w:p>
        </w:tc>
        <w:tc>
          <w:tcPr>
            <w:tcW w:w="702" w:type="pct"/>
          </w:tcPr>
          <w:p w:rsidR="00F26A6B" w:rsidRPr="001763AE" w:rsidRDefault="00F26A6B" w:rsidP="000D5CB2">
            <w:pPr>
              <w:rPr>
                <w:rFonts w:cs="Times New Roman"/>
                <w:b/>
                <w:color w:val="000000"/>
                <w:sz w:val="18"/>
                <w:szCs w:val="18"/>
              </w:rPr>
            </w:pPr>
            <w:r w:rsidRPr="001763AE">
              <w:rPr>
                <w:rFonts w:cs="Times New Roman"/>
                <w:b/>
                <w:sz w:val="18"/>
                <w:szCs w:val="18"/>
              </w:rPr>
              <w:t>1</w:t>
            </w:r>
            <w:r w:rsidR="00427F20" w:rsidRPr="001763AE">
              <w:rPr>
                <w:rFonts w:cs="Times New Roman"/>
                <w:b/>
                <w:sz w:val="18"/>
                <w:szCs w:val="18"/>
              </w:rPr>
              <w:t xml:space="preserve">. </w:t>
            </w:r>
            <w:r w:rsidRPr="001763AE">
              <w:rPr>
                <w:rFonts w:cs="Times New Roman"/>
                <w:b/>
                <w:color w:val="000000"/>
                <w:sz w:val="18"/>
                <w:szCs w:val="18"/>
              </w:rPr>
              <w:t xml:space="preserve">Overall score of the Financial Score Card </w:t>
            </w:r>
          </w:p>
        </w:tc>
        <w:tc>
          <w:tcPr>
            <w:tcW w:w="964" w:type="pct"/>
          </w:tcPr>
          <w:p w:rsidR="00F26A6B" w:rsidRPr="001763AE" w:rsidRDefault="00F26A6B" w:rsidP="0012345B">
            <w:pPr>
              <w:rPr>
                <w:rFonts w:cs="Times New Roman"/>
                <w:color w:val="000000"/>
                <w:sz w:val="18"/>
                <w:szCs w:val="18"/>
              </w:rPr>
            </w:pPr>
            <w:r w:rsidRPr="001763AE">
              <w:rPr>
                <w:rFonts w:cs="Times New Roman"/>
                <w:color w:val="000000"/>
                <w:sz w:val="18"/>
                <w:szCs w:val="18"/>
              </w:rPr>
              <w:t>Component 1: 15 (19%)</w:t>
            </w:r>
          </w:p>
          <w:p w:rsidR="00F26A6B" w:rsidRPr="001763AE" w:rsidRDefault="00F35400" w:rsidP="0012345B">
            <w:pPr>
              <w:rPr>
                <w:rFonts w:cs="Times New Roman"/>
                <w:color w:val="000000"/>
                <w:sz w:val="18"/>
                <w:szCs w:val="18"/>
              </w:rPr>
            </w:pPr>
            <w:r w:rsidRPr="001763AE">
              <w:rPr>
                <w:rFonts w:cs="Times New Roman"/>
                <w:color w:val="000000"/>
                <w:sz w:val="18"/>
                <w:szCs w:val="18"/>
              </w:rPr>
              <w:t xml:space="preserve">Component 2: </w:t>
            </w:r>
            <w:r w:rsidR="00F26A6B" w:rsidRPr="001763AE">
              <w:rPr>
                <w:rFonts w:cs="Times New Roman"/>
                <w:color w:val="000000"/>
                <w:sz w:val="18"/>
                <w:szCs w:val="18"/>
              </w:rPr>
              <w:t>15 (24%)</w:t>
            </w:r>
          </w:p>
          <w:p w:rsidR="00F26A6B" w:rsidRPr="001763AE" w:rsidRDefault="00F26A6B" w:rsidP="0012345B">
            <w:pPr>
              <w:rPr>
                <w:rFonts w:cs="Times New Roman"/>
                <w:color w:val="000000"/>
                <w:sz w:val="18"/>
                <w:szCs w:val="18"/>
              </w:rPr>
            </w:pPr>
            <w:r w:rsidRPr="001763AE">
              <w:rPr>
                <w:rFonts w:cs="Times New Roman"/>
                <w:color w:val="000000"/>
                <w:sz w:val="18"/>
                <w:szCs w:val="18"/>
              </w:rPr>
              <w:t xml:space="preserve">Component 3: </w:t>
            </w:r>
            <w:r w:rsidRPr="001763AE">
              <w:rPr>
                <w:rFonts w:cs="Times New Roman"/>
                <w:color w:val="000000"/>
                <w:sz w:val="18"/>
                <w:szCs w:val="18"/>
              </w:rPr>
              <w:tab/>
              <w:t>3 (5%)</w:t>
            </w:r>
          </w:p>
          <w:p w:rsidR="00F26A6B" w:rsidRPr="001763AE" w:rsidRDefault="00F26A6B" w:rsidP="00A161F5">
            <w:pPr>
              <w:widowControl w:val="0"/>
              <w:suppressAutoHyphens/>
              <w:autoSpaceDE w:val="0"/>
              <w:ind w:left="5"/>
              <w:rPr>
                <w:rFonts w:cs="Times New Roman"/>
                <w:b/>
                <w:sz w:val="18"/>
                <w:szCs w:val="18"/>
              </w:rPr>
            </w:pPr>
            <w:r w:rsidRPr="001763AE">
              <w:rPr>
                <w:rFonts w:cs="Times New Roman"/>
                <w:b/>
                <w:color w:val="000000"/>
                <w:sz w:val="18"/>
                <w:szCs w:val="18"/>
              </w:rPr>
              <w:t xml:space="preserve">Overall: </w:t>
            </w:r>
            <w:r w:rsidRPr="001763AE">
              <w:rPr>
                <w:rFonts w:cs="Times New Roman"/>
                <w:b/>
                <w:color w:val="000000"/>
                <w:sz w:val="18"/>
                <w:szCs w:val="18"/>
              </w:rPr>
              <w:tab/>
              <w:t>33 (17%)</w:t>
            </w:r>
          </w:p>
        </w:tc>
        <w:tc>
          <w:tcPr>
            <w:tcW w:w="581" w:type="pct"/>
            <w:vAlign w:val="center"/>
          </w:tcPr>
          <w:p w:rsidR="00F26A6B" w:rsidRPr="001763AE" w:rsidRDefault="00F26A6B" w:rsidP="00A161F5">
            <w:pPr>
              <w:widowControl w:val="0"/>
              <w:suppressAutoHyphens/>
              <w:autoSpaceDE w:val="0"/>
              <w:rPr>
                <w:rFonts w:cs="Times New Roman"/>
                <w:sz w:val="18"/>
                <w:szCs w:val="18"/>
              </w:rPr>
            </w:pPr>
            <w:r w:rsidRPr="001763AE">
              <w:rPr>
                <w:rFonts w:cs="Times New Roman"/>
                <w:sz w:val="18"/>
                <w:szCs w:val="18"/>
              </w:rPr>
              <w:t xml:space="preserve">Overall: 50% </w:t>
            </w:r>
          </w:p>
        </w:tc>
        <w:tc>
          <w:tcPr>
            <w:tcW w:w="1018" w:type="pct"/>
          </w:tcPr>
          <w:p w:rsidR="00F26A6B" w:rsidRPr="001763AE" w:rsidRDefault="00F26A6B" w:rsidP="000D5CB2">
            <w:pPr>
              <w:rPr>
                <w:rFonts w:cs="Times New Roman"/>
                <w:color w:val="000000"/>
                <w:sz w:val="18"/>
                <w:szCs w:val="18"/>
              </w:rPr>
            </w:pPr>
            <w:r w:rsidRPr="001763AE">
              <w:rPr>
                <w:rFonts w:cs="Times New Roman"/>
                <w:color w:val="000000"/>
                <w:sz w:val="18"/>
                <w:szCs w:val="18"/>
              </w:rPr>
              <w:t xml:space="preserve">Component 1: </w:t>
            </w:r>
            <w:r w:rsidRPr="001763AE">
              <w:rPr>
                <w:rFonts w:cs="Times New Roman"/>
                <w:color w:val="000000"/>
                <w:sz w:val="18"/>
                <w:szCs w:val="18"/>
              </w:rPr>
              <w:tab/>
              <w:t>42 (44%)</w:t>
            </w:r>
          </w:p>
          <w:p w:rsidR="00F26A6B" w:rsidRPr="001763AE" w:rsidRDefault="00F26A6B" w:rsidP="000D5CB2">
            <w:pPr>
              <w:rPr>
                <w:rFonts w:cs="Times New Roman"/>
                <w:color w:val="000000"/>
                <w:sz w:val="18"/>
                <w:szCs w:val="18"/>
              </w:rPr>
            </w:pPr>
            <w:r w:rsidRPr="001763AE">
              <w:rPr>
                <w:rFonts w:cs="Times New Roman"/>
                <w:color w:val="000000"/>
                <w:sz w:val="18"/>
                <w:szCs w:val="18"/>
              </w:rPr>
              <w:t xml:space="preserve">Component 2: </w:t>
            </w:r>
            <w:r w:rsidRPr="001763AE">
              <w:rPr>
                <w:rFonts w:cs="Times New Roman"/>
                <w:color w:val="000000"/>
                <w:sz w:val="18"/>
                <w:szCs w:val="18"/>
              </w:rPr>
              <w:tab/>
              <w:t>42 (71%)</w:t>
            </w:r>
          </w:p>
          <w:p w:rsidR="00F26A6B" w:rsidRPr="001763AE" w:rsidRDefault="00F26A6B" w:rsidP="00096835">
            <w:pPr>
              <w:rPr>
                <w:rFonts w:cs="Times New Roman"/>
                <w:color w:val="000000"/>
                <w:sz w:val="18"/>
                <w:szCs w:val="18"/>
              </w:rPr>
            </w:pPr>
            <w:r w:rsidRPr="001763AE">
              <w:rPr>
                <w:rFonts w:cs="Times New Roman"/>
                <w:color w:val="000000"/>
                <w:sz w:val="18"/>
                <w:szCs w:val="18"/>
              </w:rPr>
              <w:t xml:space="preserve">Component 3: </w:t>
            </w:r>
            <w:r w:rsidRPr="001763AE">
              <w:rPr>
                <w:rFonts w:cs="Times New Roman"/>
                <w:color w:val="000000"/>
                <w:sz w:val="18"/>
                <w:szCs w:val="18"/>
              </w:rPr>
              <w:tab/>
              <w:t>27 (38%)</w:t>
            </w:r>
          </w:p>
          <w:p w:rsidR="00F26A6B" w:rsidRPr="001763AE" w:rsidRDefault="00F26A6B" w:rsidP="000D5CB2">
            <w:pPr>
              <w:rPr>
                <w:rFonts w:cs="Times New Roman"/>
                <w:b/>
                <w:color w:val="000000"/>
                <w:sz w:val="18"/>
                <w:szCs w:val="18"/>
              </w:rPr>
            </w:pPr>
            <w:r w:rsidRPr="001763AE">
              <w:rPr>
                <w:rFonts w:cs="Times New Roman"/>
                <w:b/>
                <w:color w:val="000000"/>
                <w:sz w:val="18"/>
                <w:szCs w:val="18"/>
              </w:rPr>
              <w:t xml:space="preserve">Overall: </w:t>
            </w:r>
            <w:r w:rsidRPr="001763AE">
              <w:rPr>
                <w:rFonts w:cs="Times New Roman"/>
                <w:b/>
                <w:color w:val="000000"/>
                <w:sz w:val="18"/>
                <w:szCs w:val="18"/>
              </w:rPr>
              <w:tab/>
              <w:t>111 (49%)</w:t>
            </w:r>
          </w:p>
        </w:tc>
        <w:tc>
          <w:tcPr>
            <w:tcW w:w="353" w:type="pct"/>
            <w:vAlign w:val="center"/>
          </w:tcPr>
          <w:p w:rsidR="00F26A6B" w:rsidRPr="001763AE" w:rsidRDefault="00F26A6B" w:rsidP="002401F3">
            <w:pPr>
              <w:jc w:val="center"/>
              <w:rPr>
                <w:rFonts w:cs="Times New Roman"/>
                <w:b/>
                <w:szCs w:val="20"/>
              </w:rPr>
            </w:pPr>
            <w:r w:rsidRPr="001763AE">
              <w:rPr>
                <w:rFonts w:cs="Times New Roman"/>
                <w:b/>
                <w:szCs w:val="20"/>
              </w:rPr>
              <w:t>S</w:t>
            </w:r>
          </w:p>
        </w:tc>
        <w:tc>
          <w:tcPr>
            <w:tcW w:w="402" w:type="pct"/>
            <w:vMerge w:val="restart"/>
            <w:vAlign w:val="center"/>
          </w:tcPr>
          <w:p w:rsidR="00F26A6B" w:rsidRPr="001763AE" w:rsidRDefault="00A665C5" w:rsidP="00F26A6B">
            <w:pPr>
              <w:jc w:val="center"/>
              <w:rPr>
                <w:rFonts w:cs="Times New Roman"/>
                <w:b/>
                <w:szCs w:val="20"/>
              </w:rPr>
            </w:pPr>
            <w:r w:rsidRPr="001763AE">
              <w:rPr>
                <w:rFonts w:cs="Times New Roman"/>
                <w:b/>
                <w:szCs w:val="20"/>
              </w:rPr>
              <w:t>MS</w:t>
            </w:r>
          </w:p>
        </w:tc>
      </w:tr>
      <w:tr w:rsidR="00F26A6B" w:rsidRPr="001763AE" w:rsidTr="00556E42">
        <w:trPr>
          <w:trHeight w:val="930"/>
        </w:trPr>
        <w:tc>
          <w:tcPr>
            <w:tcW w:w="980" w:type="pct"/>
            <w:vMerge/>
          </w:tcPr>
          <w:p w:rsidR="00F26A6B" w:rsidRPr="001763AE" w:rsidRDefault="00F26A6B" w:rsidP="000D5CB2">
            <w:pPr>
              <w:widowControl w:val="0"/>
              <w:suppressAutoHyphens/>
              <w:autoSpaceDE w:val="0"/>
              <w:rPr>
                <w:rFonts w:cs="Times New Roman"/>
                <w:b/>
                <w:color w:val="000000"/>
                <w:sz w:val="18"/>
                <w:szCs w:val="18"/>
              </w:rPr>
            </w:pPr>
          </w:p>
        </w:tc>
        <w:tc>
          <w:tcPr>
            <w:tcW w:w="702" w:type="pct"/>
          </w:tcPr>
          <w:p w:rsidR="00F26A6B" w:rsidRPr="001763AE" w:rsidRDefault="00F26A6B" w:rsidP="000D5CB2">
            <w:pPr>
              <w:widowControl w:val="0"/>
              <w:suppressAutoHyphens/>
              <w:autoSpaceDE w:val="0"/>
              <w:rPr>
                <w:rFonts w:cs="Times New Roman"/>
                <w:color w:val="000000"/>
                <w:sz w:val="18"/>
                <w:szCs w:val="18"/>
              </w:rPr>
            </w:pPr>
            <w:r w:rsidRPr="001763AE">
              <w:rPr>
                <w:rFonts w:cs="Times New Roman"/>
                <w:b/>
                <w:color w:val="000000"/>
                <w:sz w:val="18"/>
                <w:szCs w:val="18"/>
              </w:rPr>
              <w:t>2</w:t>
            </w:r>
            <w:r w:rsidR="00427F20" w:rsidRPr="001763AE">
              <w:rPr>
                <w:rFonts w:cs="Times New Roman"/>
                <w:b/>
                <w:color w:val="000000"/>
                <w:sz w:val="18"/>
                <w:szCs w:val="18"/>
              </w:rPr>
              <w:t xml:space="preserve">. </w:t>
            </w:r>
            <w:r w:rsidRPr="001763AE">
              <w:rPr>
                <w:rFonts w:cs="Times New Roman"/>
                <w:b/>
                <w:color w:val="000000"/>
                <w:sz w:val="18"/>
                <w:szCs w:val="18"/>
              </w:rPr>
              <w:t>Trend in filling the funding gap</w:t>
            </w:r>
          </w:p>
        </w:tc>
        <w:tc>
          <w:tcPr>
            <w:tcW w:w="964" w:type="pct"/>
          </w:tcPr>
          <w:p w:rsidR="00F26A6B" w:rsidRPr="001763AE" w:rsidRDefault="00F26A6B" w:rsidP="000D5CB2">
            <w:pPr>
              <w:rPr>
                <w:rFonts w:cs="Times New Roman"/>
                <w:sz w:val="18"/>
                <w:szCs w:val="18"/>
              </w:rPr>
            </w:pPr>
            <w:r w:rsidRPr="001763AE">
              <w:rPr>
                <w:rFonts w:cs="Times New Roman"/>
                <w:sz w:val="18"/>
                <w:szCs w:val="18"/>
              </w:rPr>
              <w:t>Stagnant</w:t>
            </w:r>
          </w:p>
        </w:tc>
        <w:tc>
          <w:tcPr>
            <w:tcW w:w="581" w:type="pct"/>
          </w:tcPr>
          <w:p w:rsidR="00F26A6B" w:rsidRPr="001763AE" w:rsidRDefault="00F26A6B" w:rsidP="000D5CB2">
            <w:pPr>
              <w:widowControl w:val="0"/>
              <w:suppressAutoHyphens/>
              <w:autoSpaceDE w:val="0"/>
              <w:rPr>
                <w:rFonts w:cs="Times New Roman"/>
                <w:color w:val="000000"/>
                <w:sz w:val="18"/>
                <w:szCs w:val="18"/>
              </w:rPr>
            </w:pPr>
            <w:r w:rsidRPr="001763AE">
              <w:rPr>
                <w:bCs/>
                <w:sz w:val="18"/>
                <w:szCs w:val="18"/>
              </w:rPr>
              <w:t>From Dec 2011, financial gaps are being gradually reduced a rate of 20% per year</w:t>
            </w:r>
          </w:p>
        </w:tc>
        <w:tc>
          <w:tcPr>
            <w:tcW w:w="1018" w:type="pct"/>
          </w:tcPr>
          <w:p w:rsidR="00427F20" w:rsidRPr="001763AE" w:rsidRDefault="000E4F19" w:rsidP="000D5CB2">
            <w:pPr>
              <w:rPr>
                <w:rFonts w:cs="Times New Roman"/>
                <w:sz w:val="18"/>
                <w:szCs w:val="18"/>
              </w:rPr>
            </w:pPr>
            <w:r w:rsidRPr="001763AE">
              <w:rPr>
                <w:rFonts w:cs="Times New Roman"/>
                <w:sz w:val="18"/>
                <w:szCs w:val="18"/>
              </w:rPr>
              <w:t xml:space="preserve">Year on year change in the gap from the financial scorecard </w:t>
            </w:r>
            <w:r w:rsidR="00F35400" w:rsidRPr="001763AE">
              <w:rPr>
                <w:rFonts w:cs="Times New Roman"/>
                <w:sz w:val="18"/>
                <w:szCs w:val="18"/>
              </w:rPr>
              <w:t>(minimum requirements)</w:t>
            </w:r>
            <w:r w:rsidR="00427F20" w:rsidRPr="001763AE">
              <w:rPr>
                <w:rFonts w:cs="Times New Roman"/>
                <w:sz w:val="18"/>
                <w:szCs w:val="18"/>
              </w:rPr>
              <w:t>.</w:t>
            </w:r>
          </w:p>
          <w:p w:rsidR="00F26A6B" w:rsidRPr="001763AE" w:rsidRDefault="00F26A6B" w:rsidP="000D5CB2">
            <w:pPr>
              <w:rPr>
                <w:rFonts w:cs="Times New Roman"/>
                <w:sz w:val="18"/>
                <w:szCs w:val="18"/>
              </w:rPr>
            </w:pPr>
            <w:r w:rsidRPr="001763AE">
              <w:rPr>
                <w:rFonts w:cs="Times New Roman"/>
                <w:sz w:val="18"/>
                <w:szCs w:val="18"/>
              </w:rPr>
              <w:t>2009-2010:</w:t>
            </w:r>
            <w:r w:rsidRPr="001763AE">
              <w:rPr>
                <w:rFonts w:cs="Times New Roman"/>
                <w:sz w:val="18"/>
                <w:szCs w:val="18"/>
              </w:rPr>
              <w:tab/>
            </w:r>
            <w:r w:rsidRPr="001763AE">
              <w:rPr>
                <w:rFonts w:cs="Times New Roman"/>
                <w:sz w:val="18"/>
                <w:szCs w:val="18"/>
              </w:rPr>
              <w:tab/>
              <w:t>+21%</w:t>
            </w:r>
          </w:p>
          <w:p w:rsidR="00F26A6B" w:rsidRPr="001763AE" w:rsidRDefault="00F26A6B" w:rsidP="000D5CB2">
            <w:pPr>
              <w:rPr>
                <w:rFonts w:cs="Times New Roman"/>
                <w:sz w:val="18"/>
                <w:szCs w:val="18"/>
              </w:rPr>
            </w:pPr>
            <w:r w:rsidRPr="001763AE">
              <w:rPr>
                <w:rFonts w:cs="Times New Roman"/>
                <w:sz w:val="18"/>
                <w:szCs w:val="18"/>
              </w:rPr>
              <w:t>2010-2011:</w:t>
            </w:r>
            <w:r w:rsidRPr="001763AE">
              <w:rPr>
                <w:rFonts w:cs="Times New Roman"/>
                <w:sz w:val="18"/>
                <w:szCs w:val="18"/>
              </w:rPr>
              <w:tab/>
            </w:r>
            <w:r w:rsidRPr="001763AE">
              <w:rPr>
                <w:rFonts w:cs="Times New Roman"/>
                <w:sz w:val="18"/>
                <w:szCs w:val="18"/>
              </w:rPr>
              <w:tab/>
              <w:t>+16%</w:t>
            </w:r>
          </w:p>
          <w:p w:rsidR="00F26A6B" w:rsidRPr="001763AE" w:rsidRDefault="00F26A6B" w:rsidP="000D5CB2">
            <w:pPr>
              <w:rPr>
                <w:rFonts w:cs="Times New Roman"/>
                <w:sz w:val="18"/>
                <w:szCs w:val="18"/>
              </w:rPr>
            </w:pPr>
            <w:r w:rsidRPr="001763AE">
              <w:rPr>
                <w:rFonts w:cs="Times New Roman"/>
                <w:sz w:val="18"/>
                <w:szCs w:val="18"/>
              </w:rPr>
              <w:t>2011-2012:</w:t>
            </w:r>
            <w:r w:rsidRPr="001763AE">
              <w:rPr>
                <w:rFonts w:cs="Times New Roman"/>
                <w:sz w:val="18"/>
                <w:szCs w:val="18"/>
              </w:rPr>
              <w:tab/>
            </w:r>
            <w:r w:rsidRPr="001763AE">
              <w:rPr>
                <w:rFonts w:cs="Times New Roman"/>
                <w:sz w:val="18"/>
                <w:szCs w:val="18"/>
              </w:rPr>
              <w:tab/>
              <w:t>-1%</w:t>
            </w:r>
          </w:p>
          <w:p w:rsidR="00F26A6B" w:rsidRPr="001763AE" w:rsidRDefault="00F26A6B" w:rsidP="000D5CB2">
            <w:pPr>
              <w:rPr>
                <w:rFonts w:cs="Times New Roman"/>
                <w:sz w:val="18"/>
                <w:szCs w:val="18"/>
              </w:rPr>
            </w:pPr>
            <w:r w:rsidRPr="001763AE">
              <w:rPr>
                <w:rFonts w:cs="Times New Roman"/>
                <w:sz w:val="18"/>
                <w:szCs w:val="18"/>
              </w:rPr>
              <w:t>2012-2013:</w:t>
            </w:r>
            <w:r w:rsidRPr="001763AE">
              <w:rPr>
                <w:rFonts w:cs="Times New Roman"/>
                <w:sz w:val="18"/>
                <w:szCs w:val="18"/>
              </w:rPr>
              <w:tab/>
            </w:r>
            <w:r w:rsidRPr="001763AE">
              <w:rPr>
                <w:rFonts w:cs="Times New Roman"/>
                <w:sz w:val="18"/>
                <w:szCs w:val="18"/>
              </w:rPr>
              <w:tab/>
              <w:t>-13%</w:t>
            </w:r>
          </w:p>
          <w:p w:rsidR="00F26A6B" w:rsidRPr="001763AE" w:rsidRDefault="00F26A6B" w:rsidP="000D5CB2">
            <w:pPr>
              <w:rPr>
                <w:rFonts w:cs="Times New Roman"/>
                <w:sz w:val="18"/>
                <w:szCs w:val="18"/>
              </w:rPr>
            </w:pPr>
            <w:r w:rsidRPr="001763AE">
              <w:rPr>
                <w:rFonts w:cs="Times New Roman"/>
                <w:sz w:val="18"/>
                <w:szCs w:val="18"/>
              </w:rPr>
              <w:t>Overall change: +20%</w:t>
            </w:r>
          </w:p>
          <w:p w:rsidR="00F26A6B" w:rsidRPr="001763AE" w:rsidRDefault="00DB1F52" w:rsidP="000D5CB2">
            <w:pPr>
              <w:rPr>
                <w:rFonts w:cs="Times New Roman"/>
                <w:sz w:val="18"/>
                <w:szCs w:val="18"/>
              </w:rPr>
            </w:pPr>
            <w:r w:rsidRPr="001763AE">
              <w:rPr>
                <w:rFonts w:cs="Times New Roman"/>
                <w:sz w:val="18"/>
                <w:szCs w:val="18"/>
              </w:rPr>
              <w:t xml:space="preserve">Change from 2011: </w:t>
            </w:r>
            <w:r w:rsidR="00F26A6B" w:rsidRPr="001763AE">
              <w:rPr>
                <w:rFonts w:cs="Times New Roman"/>
                <w:sz w:val="18"/>
                <w:szCs w:val="18"/>
              </w:rPr>
              <w:t>14%</w:t>
            </w:r>
          </w:p>
          <w:p w:rsidR="00F26A6B" w:rsidRPr="001763AE" w:rsidRDefault="00F26A6B" w:rsidP="00DF5E8C">
            <w:pPr>
              <w:rPr>
                <w:rFonts w:cs="Times New Roman"/>
                <w:sz w:val="18"/>
                <w:szCs w:val="18"/>
              </w:rPr>
            </w:pPr>
            <w:r w:rsidRPr="001763AE">
              <w:rPr>
                <w:rFonts w:cs="Times New Roman"/>
                <w:sz w:val="18"/>
                <w:szCs w:val="18"/>
              </w:rPr>
              <w:t xml:space="preserve">Mobilisation of project based support has reduced the funding gap in the short </w:t>
            </w:r>
            <w:r w:rsidR="00DF5E8C" w:rsidRPr="001763AE">
              <w:rPr>
                <w:rFonts w:cs="Times New Roman"/>
                <w:sz w:val="18"/>
                <w:szCs w:val="18"/>
              </w:rPr>
              <w:t xml:space="preserve">– medium </w:t>
            </w:r>
            <w:r w:rsidRPr="001763AE">
              <w:rPr>
                <w:rFonts w:cs="Times New Roman"/>
                <w:sz w:val="18"/>
                <w:szCs w:val="18"/>
              </w:rPr>
              <w:t>term</w:t>
            </w:r>
            <w:r w:rsidR="00427F20" w:rsidRPr="001763AE">
              <w:rPr>
                <w:rFonts w:cs="Times New Roman"/>
                <w:sz w:val="18"/>
                <w:szCs w:val="18"/>
              </w:rPr>
              <w:t>.</w:t>
            </w:r>
            <w:r w:rsidR="00DF5E8C" w:rsidRPr="001763AE">
              <w:rPr>
                <w:rFonts w:cs="Times New Roman"/>
                <w:sz w:val="18"/>
                <w:szCs w:val="18"/>
              </w:rPr>
              <w:t xml:space="preserve"> </w:t>
            </w:r>
          </w:p>
        </w:tc>
        <w:tc>
          <w:tcPr>
            <w:tcW w:w="353" w:type="pct"/>
            <w:vAlign w:val="center"/>
          </w:tcPr>
          <w:p w:rsidR="00F26A6B" w:rsidRPr="001763AE" w:rsidRDefault="00651519" w:rsidP="002401F3">
            <w:pPr>
              <w:jc w:val="center"/>
              <w:rPr>
                <w:rFonts w:cs="Times New Roman"/>
                <w:b/>
                <w:szCs w:val="20"/>
              </w:rPr>
            </w:pPr>
            <w:r w:rsidRPr="001763AE">
              <w:rPr>
                <w:rFonts w:cs="Times New Roman"/>
                <w:b/>
                <w:szCs w:val="20"/>
              </w:rPr>
              <w:t>MS</w:t>
            </w:r>
          </w:p>
        </w:tc>
        <w:tc>
          <w:tcPr>
            <w:tcW w:w="402" w:type="pct"/>
            <w:vMerge/>
          </w:tcPr>
          <w:p w:rsidR="00F26A6B" w:rsidRPr="001763AE" w:rsidRDefault="00F26A6B" w:rsidP="002401F3">
            <w:pPr>
              <w:jc w:val="center"/>
              <w:rPr>
                <w:rFonts w:cs="Times New Roman"/>
                <w:b/>
                <w:szCs w:val="20"/>
              </w:rPr>
            </w:pPr>
          </w:p>
        </w:tc>
      </w:tr>
      <w:tr w:rsidR="00F26A6B" w:rsidRPr="001763AE" w:rsidTr="00334D37">
        <w:tc>
          <w:tcPr>
            <w:tcW w:w="980" w:type="pct"/>
            <w:vMerge/>
          </w:tcPr>
          <w:p w:rsidR="00F26A6B" w:rsidRPr="001763AE" w:rsidRDefault="00F26A6B" w:rsidP="00B50C76">
            <w:pPr>
              <w:widowControl w:val="0"/>
              <w:suppressAutoHyphens/>
              <w:autoSpaceDE w:val="0"/>
              <w:rPr>
                <w:rFonts w:cs="Times New Roman"/>
                <w:b/>
                <w:sz w:val="18"/>
                <w:szCs w:val="18"/>
              </w:rPr>
            </w:pPr>
          </w:p>
        </w:tc>
        <w:tc>
          <w:tcPr>
            <w:tcW w:w="702" w:type="pct"/>
          </w:tcPr>
          <w:p w:rsidR="00F26A6B" w:rsidRPr="001763AE" w:rsidRDefault="00F26A6B" w:rsidP="00B50C76">
            <w:pPr>
              <w:widowControl w:val="0"/>
              <w:suppressAutoHyphens/>
              <w:autoSpaceDE w:val="0"/>
              <w:rPr>
                <w:rFonts w:cs="Times New Roman"/>
                <w:b/>
                <w:sz w:val="18"/>
                <w:szCs w:val="18"/>
              </w:rPr>
            </w:pPr>
            <w:r w:rsidRPr="001763AE">
              <w:rPr>
                <w:rFonts w:cs="Times New Roman"/>
                <w:b/>
                <w:sz w:val="18"/>
                <w:szCs w:val="18"/>
              </w:rPr>
              <w:t>3</w:t>
            </w:r>
            <w:r w:rsidR="00427F20" w:rsidRPr="001763AE">
              <w:rPr>
                <w:rFonts w:cs="Times New Roman"/>
                <w:b/>
                <w:sz w:val="18"/>
                <w:szCs w:val="18"/>
              </w:rPr>
              <w:t xml:space="preserve">. </w:t>
            </w:r>
            <w:r w:rsidRPr="001763AE">
              <w:rPr>
                <w:rFonts w:cs="Times New Roman"/>
                <w:b/>
                <w:sz w:val="18"/>
                <w:szCs w:val="18"/>
              </w:rPr>
              <w:t>Coverage of the Romanian Carpathian ecoregion with ensured financial sustainability</w:t>
            </w:r>
            <w:r w:rsidR="0025256D">
              <w:rPr>
                <w:rFonts w:cs="Times New Roman"/>
                <w:b/>
                <w:sz w:val="18"/>
                <w:szCs w:val="18"/>
              </w:rPr>
              <w:t xml:space="preserve"> </w:t>
            </w:r>
          </w:p>
        </w:tc>
        <w:tc>
          <w:tcPr>
            <w:tcW w:w="964" w:type="pct"/>
            <w:vAlign w:val="center"/>
          </w:tcPr>
          <w:p w:rsidR="00F26A6B" w:rsidRPr="001763AE" w:rsidRDefault="00F26A6B" w:rsidP="000D5CB2">
            <w:pPr>
              <w:widowControl w:val="0"/>
              <w:suppressAutoHyphens/>
              <w:autoSpaceDE w:val="0"/>
              <w:rPr>
                <w:rFonts w:cs="Times New Roman"/>
                <w:sz w:val="18"/>
                <w:szCs w:val="18"/>
              </w:rPr>
            </w:pPr>
            <w:r w:rsidRPr="001763AE">
              <w:rPr>
                <w:rFonts w:cs="Times New Roman"/>
                <w:sz w:val="18"/>
                <w:szCs w:val="18"/>
              </w:rPr>
              <w:t>0 ha</w:t>
            </w:r>
          </w:p>
        </w:tc>
        <w:tc>
          <w:tcPr>
            <w:tcW w:w="581" w:type="pct"/>
            <w:vAlign w:val="center"/>
          </w:tcPr>
          <w:p w:rsidR="00F26A6B" w:rsidRPr="001763AE" w:rsidRDefault="00F26A6B" w:rsidP="000D5CB2">
            <w:pPr>
              <w:rPr>
                <w:rFonts w:cs="Times New Roman"/>
                <w:color w:val="000000"/>
                <w:sz w:val="18"/>
                <w:szCs w:val="18"/>
              </w:rPr>
            </w:pPr>
            <w:r w:rsidRPr="001763AE">
              <w:rPr>
                <w:bCs/>
                <w:sz w:val="18"/>
                <w:szCs w:val="18"/>
              </w:rPr>
              <w:t>&gt; 1 million ha</w:t>
            </w:r>
            <w:r w:rsidR="00427F20" w:rsidRPr="001763AE">
              <w:rPr>
                <w:bCs/>
                <w:sz w:val="18"/>
                <w:szCs w:val="18"/>
              </w:rPr>
              <w:t xml:space="preserve">. </w:t>
            </w:r>
          </w:p>
        </w:tc>
        <w:tc>
          <w:tcPr>
            <w:tcW w:w="1018" w:type="pct"/>
            <w:vAlign w:val="center"/>
          </w:tcPr>
          <w:p w:rsidR="00106E6E" w:rsidRPr="001763AE" w:rsidRDefault="00106E6E" w:rsidP="00F64869">
            <w:pPr>
              <w:rPr>
                <w:rFonts w:cs="Times New Roman"/>
                <w:color w:val="000000"/>
                <w:sz w:val="18"/>
                <w:szCs w:val="18"/>
              </w:rPr>
            </w:pPr>
            <w:r w:rsidRPr="001763AE">
              <w:rPr>
                <w:rFonts w:cs="Times New Roman"/>
                <w:color w:val="000000"/>
                <w:sz w:val="18"/>
                <w:szCs w:val="18"/>
              </w:rPr>
              <w:t>Estimated:</w:t>
            </w:r>
          </w:p>
          <w:p w:rsidR="00F26A6B" w:rsidRPr="001763AE" w:rsidRDefault="00F26A6B" w:rsidP="00F64869">
            <w:pPr>
              <w:rPr>
                <w:rFonts w:cs="Times New Roman"/>
                <w:color w:val="000000"/>
                <w:sz w:val="18"/>
                <w:szCs w:val="18"/>
              </w:rPr>
            </w:pPr>
            <w:r w:rsidRPr="001763AE">
              <w:rPr>
                <w:rFonts w:cs="Times New Roman"/>
                <w:color w:val="000000"/>
                <w:sz w:val="18"/>
                <w:szCs w:val="18"/>
              </w:rPr>
              <w:t>0 ha with ensured financial sustainability</w:t>
            </w:r>
          </w:p>
          <w:p w:rsidR="00F26A6B" w:rsidRPr="001763AE" w:rsidRDefault="00F26A6B" w:rsidP="00F64869">
            <w:pPr>
              <w:rPr>
                <w:rFonts w:cs="Times New Roman"/>
                <w:color w:val="000000"/>
                <w:sz w:val="18"/>
                <w:szCs w:val="18"/>
              </w:rPr>
            </w:pPr>
            <w:r w:rsidRPr="001763AE">
              <w:rPr>
                <w:rFonts w:cs="Times New Roman"/>
                <w:color w:val="000000"/>
                <w:sz w:val="18"/>
                <w:szCs w:val="18"/>
              </w:rPr>
              <w:t>300,000 ha with significantly improved potential for financial sustainability</w:t>
            </w:r>
          </w:p>
          <w:p w:rsidR="00F26A6B" w:rsidRPr="001763AE" w:rsidRDefault="00F26A6B" w:rsidP="00394668">
            <w:pPr>
              <w:rPr>
                <w:rFonts w:cs="Times New Roman"/>
                <w:color w:val="000000"/>
                <w:sz w:val="18"/>
                <w:szCs w:val="18"/>
              </w:rPr>
            </w:pPr>
            <w:r w:rsidRPr="001763AE">
              <w:rPr>
                <w:rFonts w:cs="Times New Roman"/>
                <w:color w:val="000000"/>
                <w:sz w:val="18"/>
                <w:szCs w:val="18"/>
              </w:rPr>
              <w:t xml:space="preserve">700, 000 ha with </w:t>
            </w:r>
            <w:r w:rsidR="00394668" w:rsidRPr="001763AE">
              <w:rPr>
                <w:rFonts w:cs="Times New Roman"/>
                <w:color w:val="000000"/>
                <w:sz w:val="18"/>
                <w:szCs w:val="18"/>
              </w:rPr>
              <w:t xml:space="preserve">some </w:t>
            </w:r>
            <w:r w:rsidRPr="001763AE">
              <w:rPr>
                <w:rFonts w:cs="Times New Roman"/>
                <w:color w:val="000000"/>
                <w:sz w:val="18"/>
                <w:szCs w:val="18"/>
              </w:rPr>
              <w:t xml:space="preserve">improved potential for financial sustainability </w:t>
            </w:r>
          </w:p>
        </w:tc>
        <w:tc>
          <w:tcPr>
            <w:tcW w:w="353" w:type="pct"/>
            <w:vAlign w:val="center"/>
          </w:tcPr>
          <w:p w:rsidR="00F26A6B" w:rsidRPr="001763AE" w:rsidRDefault="00651519" w:rsidP="00334D37">
            <w:pPr>
              <w:jc w:val="center"/>
              <w:rPr>
                <w:rFonts w:cs="Times New Roman"/>
                <w:b/>
                <w:szCs w:val="20"/>
              </w:rPr>
            </w:pPr>
            <w:r w:rsidRPr="001763AE">
              <w:rPr>
                <w:rFonts w:cs="Times New Roman"/>
                <w:b/>
                <w:szCs w:val="20"/>
              </w:rPr>
              <w:t>MU</w:t>
            </w:r>
          </w:p>
          <w:p w:rsidR="00654039" w:rsidRPr="001763AE" w:rsidRDefault="00654039" w:rsidP="00334D37">
            <w:pPr>
              <w:jc w:val="center"/>
              <w:rPr>
                <w:rFonts w:cs="Times New Roman"/>
                <w:szCs w:val="20"/>
              </w:rPr>
            </w:pPr>
            <w:r w:rsidRPr="001763AE">
              <w:rPr>
                <w:rFonts w:cs="Times New Roman"/>
                <w:szCs w:val="20"/>
              </w:rPr>
              <w:t>(low</w:t>
            </w:r>
            <w:r w:rsidR="00455B5A">
              <w:rPr>
                <w:rFonts w:cs="Times New Roman"/>
                <w:szCs w:val="20"/>
              </w:rPr>
              <w:t>er</w:t>
            </w:r>
            <w:r w:rsidRPr="001763AE">
              <w:rPr>
                <w:rFonts w:cs="Times New Roman"/>
                <w:szCs w:val="20"/>
              </w:rPr>
              <w:t xml:space="preserve"> weighting)</w:t>
            </w:r>
          </w:p>
        </w:tc>
        <w:tc>
          <w:tcPr>
            <w:tcW w:w="402" w:type="pct"/>
            <w:vMerge/>
          </w:tcPr>
          <w:p w:rsidR="00F26A6B" w:rsidRPr="001763AE" w:rsidRDefault="00F26A6B" w:rsidP="000D5CB2">
            <w:pPr>
              <w:jc w:val="center"/>
              <w:rPr>
                <w:rFonts w:cs="Times New Roman"/>
                <w:b/>
                <w:szCs w:val="20"/>
              </w:rPr>
            </w:pPr>
          </w:p>
        </w:tc>
      </w:tr>
    </w:tbl>
    <w:p w:rsidR="00940762" w:rsidRPr="001763AE" w:rsidRDefault="00096835" w:rsidP="00940762">
      <w:pPr>
        <w:pStyle w:val="Heading5"/>
      </w:pPr>
      <w:r w:rsidRPr="001763AE">
        <w:t>Financial scorecard</w:t>
      </w:r>
    </w:p>
    <w:p w:rsidR="00427F20" w:rsidRPr="001763AE" w:rsidRDefault="00383727" w:rsidP="00235F76">
      <w:pPr>
        <w:pStyle w:val="NumberedPara"/>
        <w:numPr>
          <w:ilvl w:val="0"/>
          <w:numId w:val="0"/>
        </w:numPr>
      </w:pPr>
      <w:r w:rsidRPr="001763AE">
        <w:t>The f</w:t>
      </w:r>
      <w:r w:rsidR="00F35158" w:rsidRPr="001763AE">
        <w:t xml:space="preserve">inal scorecard assessment indicates that the target has very nearly been met, although a closer examination of the scorecard shows </w:t>
      </w:r>
      <w:r w:rsidRPr="001763AE">
        <w:t xml:space="preserve">results from the </w:t>
      </w:r>
      <w:r w:rsidR="00EF3CD5" w:rsidRPr="001763AE">
        <w:t xml:space="preserve">three </w:t>
      </w:r>
      <w:r w:rsidRPr="001763AE">
        <w:t xml:space="preserve">components are rather unbalanced, and </w:t>
      </w:r>
      <w:r w:rsidR="00F35158" w:rsidRPr="001763AE">
        <w:t>that component one</w:t>
      </w:r>
      <w:r w:rsidRPr="001763AE">
        <w:t xml:space="preserve"> </w:t>
      </w:r>
      <w:r w:rsidR="00F35158" w:rsidRPr="001763AE">
        <w:t>(legal and regulatory framework) and component three (</w:t>
      </w:r>
      <w:r w:rsidRPr="001763AE">
        <w:t>t</w:t>
      </w:r>
      <w:r w:rsidR="00F35158" w:rsidRPr="001763AE">
        <w:t>ools for revenue generation by PAs</w:t>
      </w:r>
      <w:r w:rsidRPr="001763AE">
        <w:t xml:space="preserve">) </w:t>
      </w:r>
      <w:r w:rsidR="00F35158" w:rsidRPr="001763AE">
        <w:t xml:space="preserve">fall short of the target, while component two </w:t>
      </w:r>
      <w:r w:rsidR="002F5A9A">
        <w:t>(b</w:t>
      </w:r>
      <w:r w:rsidRPr="001763AE">
        <w:t xml:space="preserve">usiness planning and tools for cost effective management) </w:t>
      </w:r>
      <w:r w:rsidR="00F35158" w:rsidRPr="001763AE">
        <w:lastRenderedPageBreak/>
        <w:t>comfortably exceeds it</w:t>
      </w:r>
      <w:r w:rsidR="00427F20" w:rsidRPr="001763AE">
        <w:t xml:space="preserve">. </w:t>
      </w:r>
      <w:r w:rsidRPr="001763AE">
        <w:t xml:space="preserve">The scorecard can only provide a generalised overview of the financial situation of protected areas, and any </w:t>
      </w:r>
      <w:r w:rsidR="00EF3CD5" w:rsidRPr="001763AE">
        <w:t xml:space="preserve">criteria-based </w:t>
      </w:r>
      <w:r w:rsidRPr="001763AE">
        <w:t>scoring system</w:t>
      </w:r>
      <w:r w:rsidR="005F1C4A" w:rsidRPr="001763AE">
        <w:t xml:space="preserve"> is to some extent reliant on subjective opinions</w:t>
      </w:r>
      <w:r w:rsidR="002A27F5">
        <w:t>,</w:t>
      </w:r>
      <w:r w:rsidR="00E52F90" w:rsidRPr="001763AE">
        <w:t xml:space="preserve"> as it can often be difficult to differentiate between </w:t>
      </w:r>
      <w:r w:rsidR="00D02D6D" w:rsidRPr="001763AE">
        <w:t>two scoring criter</w:t>
      </w:r>
      <w:r w:rsidR="00651519" w:rsidRPr="001763AE">
        <w:t>i</w:t>
      </w:r>
      <w:r w:rsidR="00D02D6D" w:rsidRPr="001763AE">
        <w:t>a</w:t>
      </w:r>
      <w:r w:rsidR="00427F20" w:rsidRPr="001763AE">
        <w:t xml:space="preserve">. </w:t>
      </w:r>
      <w:r w:rsidR="002A27F5">
        <w:t>Several respondents men</w:t>
      </w:r>
      <w:r w:rsidR="002F5A9A">
        <w:t xml:space="preserve">tioned that the scorecard was </w:t>
      </w:r>
      <w:r w:rsidR="002A27F5">
        <w:t xml:space="preserve">too generalised </w:t>
      </w:r>
      <w:r w:rsidR="00731B92">
        <w:t>to give a real indication of the situation</w:t>
      </w:r>
      <w:r w:rsidR="002A27F5">
        <w:t xml:space="preserve">, but </w:t>
      </w:r>
      <w:r w:rsidR="00731B92">
        <w:t xml:space="preserve">in the absence of any other indicators </w:t>
      </w:r>
      <w:r w:rsidR="002F5A9A">
        <w:t xml:space="preserve">it </w:t>
      </w:r>
      <w:r w:rsidR="00731B92">
        <w:t xml:space="preserve">has to be taken into account. </w:t>
      </w:r>
      <w:r w:rsidR="005F1C4A" w:rsidRPr="001763AE">
        <w:t>Overall achievement of this indicator is rated as</w:t>
      </w:r>
      <w:r w:rsidR="005F1C4A" w:rsidRPr="001763AE">
        <w:rPr>
          <w:b/>
          <w:i/>
        </w:rPr>
        <w:t xml:space="preserve"> </w:t>
      </w:r>
      <w:r w:rsidR="005F1C4A" w:rsidRPr="000257E4">
        <w:rPr>
          <w:b/>
        </w:rPr>
        <w:t>Satisfactory</w:t>
      </w:r>
      <w:r w:rsidR="000257E4">
        <w:t xml:space="preserve"> (S)</w:t>
      </w:r>
      <w:r w:rsidR="005F1C4A" w:rsidRPr="001763AE">
        <w:t>, although the subsequent indicators provide a more in-depth assessment of the situation concerning protected area financing</w:t>
      </w:r>
      <w:r w:rsidR="00427F20" w:rsidRPr="001763AE">
        <w:t>.</w:t>
      </w:r>
    </w:p>
    <w:p w:rsidR="00940762" w:rsidRPr="001763AE" w:rsidRDefault="00394668" w:rsidP="00940762">
      <w:pPr>
        <w:pStyle w:val="Heading5"/>
      </w:pPr>
      <w:r w:rsidRPr="001763AE">
        <w:t>Trends in c</w:t>
      </w:r>
      <w:r w:rsidR="005F1C4A" w:rsidRPr="001763AE">
        <w:t>losing of f</w:t>
      </w:r>
      <w:r w:rsidR="00096835" w:rsidRPr="001763AE">
        <w:t>unding gaps</w:t>
      </w:r>
      <w:r w:rsidR="00D442BC" w:rsidRPr="001763AE">
        <w:t xml:space="preserve"> at the national level</w:t>
      </w:r>
    </w:p>
    <w:p w:rsidR="008D17B1" w:rsidRPr="001763AE" w:rsidRDefault="005F1C4A" w:rsidP="00235F76">
      <w:pPr>
        <w:pStyle w:val="NumberedPara"/>
        <w:numPr>
          <w:ilvl w:val="0"/>
          <w:numId w:val="0"/>
        </w:numPr>
      </w:pPr>
      <w:r w:rsidRPr="001763AE">
        <w:t xml:space="preserve">Assessment of this element of the project is not straightforward, as it depends on </w:t>
      </w:r>
      <w:r w:rsidR="00EF3CD5" w:rsidRPr="001763AE">
        <w:t>how</w:t>
      </w:r>
      <w:r w:rsidRPr="001763AE">
        <w:t xml:space="preserve"> the funding gap is </w:t>
      </w:r>
      <w:r w:rsidR="00EF3CD5" w:rsidRPr="001763AE">
        <w:t>defined and measured</w:t>
      </w:r>
      <w:r w:rsidR="00427F20" w:rsidRPr="001763AE">
        <w:t xml:space="preserve">. </w:t>
      </w:r>
      <w:r w:rsidR="008D17B1" w:rsidRPr="001763AE">
        <w:t>As previously mentioned, tracking and evaluation of this aspect of the project would have been much m</w:t>
      </w:r>
      <w:r w:rsidR="00731B92">
        <w:t>o</w:t>
      </w:r>
      <w:r w:rsidR="008D17B1" w:rsidRPr="001763AE">
        <w:t>re easy and reliable if adequate indicators had been identified at an early stage</w:t>
      </w:r>
      <w:r w:rsidR="00731B92">
        <w:t>, either during preparation of the ProDoc or during development of a detailed monitoring plan. The following sections assess the result from a number of perspectives, all of which are valid in some way.</w:t>
      </w:r>
    </w:p>
    <w:p w:rsidR="008D17B1" w:rsidRPr="001763AE" w:rsidRDefault="00037BC0" w:rsidP="008D17B1">
      <w:pPr>
        <w:pStyle w:val="Heading5"/>
        <w:rPr>
          <w:b w:val="0"/>
        </w:rPr>
      </w:pPr>
      <w:r w:rsidRPr="001763AE">
        <w:rPr>
          <w:b w:val="0"/>
        </w:rPr>
        <w:t xml:space="preserve">Figures from the </w:t>
      </w:r>
      <w:r w:rsidR="008D17B1" w:rsidRPr="001763AE">
        <w:rPr>
          <w:b w:val="0"/>
        </w:rPr>
        <w:t>financial scorecard</w:t>
      </w:r>
    </w:p>
    <w:p w:rsidR="008D17B1" w:rsidRPr="001763AE" w:rsidRDefault="007832BE" w:rsidP="00235F76">
      <w:pPr>
        <w:pStyle w:val="NumberedPara"/>
        <w:numPr>
          <w:ilvl w:val="0"/>
          <w:numId w:val="0"/>
        </w:numPr>
      </w:pPr>
      <w:r w:rsidRPr="001763AE">
        <w:t>The m</w:t>
      </w:r>
      <w:r w:rsidR="005F1C4A" w:rsidRPr="001763AE">
        <w:t xml:space="preserve">ost consistently collected information during the </w:t>
      </w:r>
      <w:r w:rsidRPr="001763AE">
        <w:t>lifetime</w:t>
      </w:r>
      <w:r w:rsidR="005F1C4A" w:rsidRPr="001763AE">
        <w:t xml:space="preserve"> of the project was the annual comp</w:t>
      </w:r>
      <w:r w:rsidR="00BD0B12">
        <w:t>letion</w:t>
      </w:r>
      <w:r w:rsidR="005F1C4A" w:rsidRPr="001763AE">
        <w:t xml:space="preserve"> of the financial scorecard, which includes a </w:t>
      </w:r>
      <w:r w:rsidR="00731B92">
        <w:t xml:space="preserve">specific </w:t>
      </w:r>
      <w:r w:rsidR="005F1C4A" w:rsidRPr="001763AE">
        <w:t>quantification of the gap between</w:t>
      </w:r>
      <w:r w:rsidRPr="001763AE">
        <w:t xml:space="preserve"> actual protected area income, and minimal and ideal requirements for expenditure (split between operations and infrastructure)</w:t>
      </w:r>
      <w:r w:rsidR="00427F20" w:rsidRPr="001763AE">
        <w:t xml:space="preserve">. </w:t>
      </w:r>
      <w:r w:rsidR="0059798B" w:rsidRPr="001763AE">
        <w:t xml:space="preserve">The results from the scorecard </w:t>
      </w:r>
      <w:r w:rsidR="00EF3CD5" w:rsidRPr="001763AE">
        <w:t>appear</w:t>
      </w:r>
      <w:r w:rsidR="0059798B" w:rsidRPr="001763AE">
        <w:t xml:space="preserve"> in </w:t>
      </w:r>
      <w:r w:rsidR="00217E75" w:rsidRPr="001763AE">
        <w:fldChar w:fldCharType="begin"/>
      </w:r>
      <w:r w:rsidR="0059798B" w:rsidRPr="001763AE">
        <w:instrText xml:space="preserve"> REF _Ref391205454 \h </w:instrText>
      </w:r>
      <w:r w:rsidR="00217E75" w:rsidRPr="001763AE">
        <w:fldChar w:fldCharType="separate"/>
      </w:r>
      <w:r w:rsidR="00D406FE" w:rsidRPr="001763AE">
        <w:t xml:space="preserve">Figure </w:t>
      </w:r>
      <w:r w:rsidR="00D406FE">
        <w:rPr>
          <w:noProof/>
        </w:rPr>
        <w:t>1</w:t>
      </w:r>
      <w:r w:rsidR="00217E75" w:rsidRPr="001763AE">
        <w:fldChar w:fldCharType="end"/>
      </w:r>
      <w:r w:rsidR="0059798B" w:rsidRPr="001763AE">
        <w:t>, and show that from 2009-2013 the funding gap has increased in both scenarios, but that the gap has decreased since a peak in 2012, mainly as a result</w:t>
      </w:r>
      <w:r w:rsidR="006E16CE" w:rsidRPr="001763AE">
        <w:t xml:space="preserve"> </w:t>
      </w:r>
      <w:r w:rsidR="0059798B" w:rsidRPr="001763AE">
        <w:t>of significant reductio</w:t>
      </w:r>
      <w:r w:rsidR="00EF3CD5" w:rsidRPr="001763AE">
        <w:t>ns in operational costs</w:t>
      </w:r>
      <w:r w:rsidR="00427F20" w:rsidRPr="001763AE">
        <w:t xml:space="preserve">. </w:t>
      </w:r>
      <w:r w:rsidR="00EF3CD5" w:rsidRPr="001763AE">
        <w:t>Based</w:t>
      </w:r>
      <w:r w:rsidR="0059798B" w:rsidRPr="001763AE">
        <w:t xml:space="preserve"> on this </w:t>
      </w:r>
      <w:r w:rsidR="00EF3CD5" w:rsidRPr="001763AE">
        <w:t>evidence</w:t>
      </w:r>
      <w:r w:rsidR="00AA1F48" w:rsidRPr="001763AE">
        <w:t>,</w:t>
      </w:r>
      <w:r w:rsidR="0059798B" w:rsidRPr="001763AE">
        <w:t xml:space="preserve"> the reduction of the funding gap </w:t>
      </w:r>
      <w:r w:rsidR="00AA1F48" w:rsidRPr="001763AE">
        <w:t>envisage</w:t>
      </w:r>
      <w:r w:rsidR="00EF3CD5" w:rsidRPr="001763AE">
        <w:t>d in the project doc</w:t>
      </w:r>
      <w:r w:rsidR="00D02D6D" w:rsidRPr="001763AE">
        <w:t xml:space="preserve">ument has not been achieved; </w:t>
      </w:r>
      <w:r w:rsidR="00BD0B12">
        <w:t xml:space="preserve">although </w:t>
      </w:r>
      <w:r w:rsidR="00EF3CD5" w:rsidRPr="001763AE">
        <w:t>there is some evidence of a</w:t>
      </w:r>
      <w:r w:rsidR="00AA1F48" w:rsidRPr="001763AE">
        <w:t xml:space="preserve"> gradual reduction </w:t>
      </w:r>
      <w:r w:rsidR="00D02D6D" w:rsidRPr="001763AE">
        <w:t xml:space="preserve">of the gap </w:t>
      </w:r>
      <w:r w:rsidR="00BD0B12">
        <w:t>from December 2011, this is</w:t>
      </w:r>
      <w:r w:rsidR="00AA1F48" w:rsidRPr="001763AE">
        <w:t xml:space="preserve"> nowhere near the 20% per year target</w:t>
      </w:r>
      <w:r w:rsidR="00427F20" w:rsidRPr="001763AE">
        <w:t xml:space="preserve">. </w:t>
      </w:r>
      <w:r w:rsidR="00AA1F48" w:rsidRPr="001763AE">
        <w:t>In the course of discussions of these results during the mission</w:t>
      </w:r>
      <w:r w:rsidR="00EF3CD5" w:rsidRPr="001763AE">
        <w:t>,</w:t>
      </w:r>
      <w:r w:rsidR="00AA1F48" w:rsidRPr="001763AE">
        <w:t xml:space="preserve"> respondents offered a range of interpretations and supplementary information to explain these results</w:t>
      </w:r>
      <w:r w:rsidR="00427F20" w:rsidRPr="001763AE">
        <w:t>.</w:t>
      </w:r>
      <w:r w:rsidR="008D17B1" w:rsidRPr="001763AE">
        <w:t xml:space="preserve"> Some respondents </w:t>
      </w:r>
      <w:r w:rsidR="00556E42" w:rsidRPr="001763AE">
        <w:t xml:space="preserve">commented that the financial scorecard uses generalised aggregated data and does not provide a sufficiently accurate assessment of the real situation. This may be the case, but it is the only consistently measured indicator for the targets set by the project. If the figures in the scorecard were considered to be unreliable, more accurate means </w:t>
      </w:r>
      <w:r w:rsidR="003F3039" w:rsidRPr="001763AE">
        <w:t xml:space="preserve">should </w:t>
      </w:r>
      <w:r w:rsidR="00D02D6D" w:rsidRPr="001763AE">
        <w:t>have</w:t>
      </w:r>
      <w:r w:rsidR="003F3039" w:rsidRPr="001763AE">
        <w:t xml:space="preserve"> been established </w:t>
      </w:r>
      <w:r w:rsidR="00D02D6D" w:rsidRPr="001763AE">
        <w:t xml:space="preserve">at an early stage </w:t>
      </w:r>
      <w:r w:rsidR="003F3039" w:rsidRPr="001763AE">
        <w:t>to measure</w:t>
      </w:r>
      <w:r w:rsidR="00556E42" w:rsidRPr="001763AE">
        <w:t xml:space="preserve"> changes in the funding gap.</w:t>
      </w:r>
    </w:p>
    <w:p w:rsidR="00A00721" w:rsidRPr="001763AE" w:rsidRDefault="008D17B1" w:rsidP="00235F76">
      <w:pPr>
        <w:pStyle w:val="NumberedPara"/>
        <w:numPr>
          <w:ilvl w:val="0"/>
          <w:numId w:val="0"/>
        </w:numPr>
      </w:pPr>
      <w:r w:rsidRPr="001763AE">
        <w:t xml:space="preserve"> </w:t>
      </w:r>
      <w:r w:rsidR="00A00721" w:rsidRPr="001763AE">
        <w:t>The rapid increase in the funding gap between 2009 and 2011 has been attributed to the increased financial commitment associated with the establishment of Natura 2000 network, which in Romania is considered to be part of the</w:t>
      </w:r>
      <w:r w:rsidR="003F3039" w:rsidRPr="001763AE">
        <w:t xml:space="preserve"> protected area system. </w:t>
      </w:r>
      <w:r w:rsidR="00D02D6D" w:rsidRPr="001763AE">
        <w:t>In order to p</w:t>
      </w:r>
      <w:r w:rsidR="002A4431" w:rsidRPr="001763AE">
        <w:t>rovide a clearer measure of changes in</w:t>
      </w:r>
      <w:r w:rsidR="00731B92">
        <w:t xml:space="preserve"> the</w:t>
      </w:r>
      <w:r w:rsidR="002A4431" w:rsidRPr="001763AE">
        <w:t xml:space="preserve"> funding gaps, t</w:t>
      </w:r>
      <w:r w:rsidR="00D02D6D" w:rsidRPr="001763AE">
        <w:t xml:space="preserve">he scorecard assessments </w:t>
      </w:r>
      <w:r w:rsidR="00731B92">
        <w:t xml:space="preserve">used by the project </w:t>
      </w:r>
      <w:r w:rsidR="00D02D6D" w:rsidRPr="001763AE">
        <w:t xml:space="preserve">should have separated </w:t>
      </w:r>
      <w:r w:rsidR="00A00721" w:rsidRPr="001763AE">
        <w:t>the figures</w:t>
      </w:r>
      <w:r w:rsidR="00D02D6D" w:rsidRPr="001763AE">
        <w:t xml:space="preserve"> for Natura 2000 sites and for S</w:t>
      </w:r>
      <w:r w:rsidR="00731B92">
        <w:t>tate protected areas.</w:t>
      </w:r>
    </w:p>
    <w:p w:rsidR="00A00721" w:rsidRPr="001763AE" w:rsidRDefault="00A00721" w:rsidP="00235F76">
      <w:pPr>
        <w:pStyle w:val="NumberedPara"/>
        <w:numPr>
          <w:ilvl w:val="0"/>
          <w:numId w:val="0"/>
        </w:numPr>
      </w:pPr>
      <w:r w:rsidRPr="001763AE">
        <w:t xml:space="preserve">It has not been possible to explain the major changes and differences between the funding gaps for operations and investments shown in the scorecards between 2012 and 2013. While the reduction in the funding gap for operations might seem encouraging, it could be explained by a major decline in expenditure as much as </w:t>
      </w:r>
      <w:r w:rsidR="00731B92">
        <w:t xml:space="preserve">by </w:t>
      </w:r>
      <w:r w:rsidRPr="001763AE">
        <w:t>a major increase in income.</w:t>
      </w:r>
    </w:p>
    <w:p w:rsidR="007832BE" w:rsidRPr="001763AE" w:rsidRDefault="0059798B" w:rsidP="00556E42">
      <w:pPr>
        <w:pStyle w:val="Caption"/>
      </w:pPr>
      <w:bookmarkStart w:id="22" w:name="_Ref391205454"/>
      <w:r w:rsidRPr="001763AE">
        <w:t xml:space="preserve">Figure </w:t>
      </w:r>
      <w:r w:rsidR="00C072C9">
        <w:fldChar w:fldCharType="begin"/>
      </w:r>
      <w:r w:rsidR="00C072C9">
        <w:instrText xml:space="preserve"> SEQ Figure \* ARABIC </w:instrText>
      </w:r>
      <w:r w:rsidR="00C072C9">
        <w:fldChar w:fldCharType="separate"/>
      </w:r>
      <w:r w:rsidR="00D406FE">
        <w:rPr>
          <w:noProof/>
        </w:rPr>
        <w:t>1</w:t>
      </w:r>
      <w:r w:rsidR="00C072C9">
        <w:rPr>
          <w:noProof/>
        </w:rPr>
        <w:fldChar w:fldCharType="end"/>
      </w:r>
      <w:bookmarkEnd w:id="22"/>
      <w:r w:rsidRPr="001763AE">
        <w:t xml:space="preserve"> Changes in</w:t>
      </w:r>
      <w:r w:rsidR="006E16CE" w:rsidRPr="001763AE">
        <w:t xml:space="preserve"> </w:t>
      </w:r>
      <w:r w:rsidRPr="001763AE">
        <w:t>the funding gap in the course of the project</w:t>
      </w:r>
      <w:r w:rsidR="00F00C95" w:rsidRPr="001763AE">
        <w:t xml:space="preserve"> according to the financial scorecard</w:t>
      </w:r>
      <w:r w:rsidR="00427F20" w:rsidRPr="001763AE">
        <w:t>.</w:t>
      </w:r>
    </w:p>
    <w:tbl>
      <w:tblPr>
        <w:tblStyle w:val="BasicReport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928"/>
        <w:gridCol w:w="4927"/>
      </w:tblGrid>
      <w:tr w:rsidR="006627D8" w:rsidRPr="001763AE" w:rsidTr="0059798B">
        <w:tc>
          <w:tcPr>
            <w:tcW w:w="5013" w:type="dxa"/>
          </w:tcPr>
          <w:p w:rsidR="006627D8" w:rsidRPr="001763AE" w:rsidRDefault="006627D8" w:rsidP="006627D8">
            <w:pPr>
              <w:jc w:val="center"/>
            </w:pPr>
            <w:r w:rsidRPr="001763AE">
              <w:rPr>
                <w:noProof/>
                <w:lang w:val="en-US"/>
              </w:rPr>
              <w:drawing>
                <wp:inline distT="0" distB="0" distL="0" distR="0">
                  <wp:extent cx="2880000" cy="1846800"/>
                  <wp:effectExtent l="0" t="0" r="0" b="127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1846800"/>
                          </a:xfrm>
                          <a:prstGeom prst="rect">
                            <a:avLst/>
                          </a:prstGeom>
                          <a:noFill/>
                        </pic:spPr>
                      </pic:pic>
                    </a:graphicData>
                  </a:graphic>
                </wp:inline>
              </w:drawing>
            </w:r>
          </w:p>
        </w:tc>
        <w:tc>
          <w:tcPr>
            <w:tcW w:w="5013" w:type="dxa"/>
          </w:tcPr>
          <w:p w:rsidR="006627D8" w:rsidRPr="001763AE" w:rsidRDefault="006627D8" w:rsidP="006627D8">
            <w:pPr>
              <w:jc w:val="center"/>
            </w:pPr>
            <w:r w:rsidRPr="001763AE">
              <w:rPr>
                <w:noProof/>
                <w:lang w:val="en-US"/>
              </w:rPr>
              <w:drawing>
                <wp:inline distT="0" distB="0" distL="0" distR="0">
                  <wp:extent cx="2880000" cy="1846800"/>
                  <wp:effectExtent l="0" t="0" r="0" b="127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1846800"/>
                          </a:xfrm>
                          <a:prstGeom prst="rect">
                            <a:avLst/>
                          </a:prstGeom>
                          <a:noFill/>
                        </pic:spPr>
                      </pic:pic>
                    </a:graphicData>
                  </a:graphic>
                </wp:inline>
              </w:drawing>
            </w:r>
          </w:p>
        </w:tc>
      </w:tr>
      <w:tr w:rsidR="006627D8" w:rsidRPr="001763AE" w:rsidTr="0059798B">
        <w:tc>
          <w:tcPr>
            <w:tcW w:w="5013" w:type="dxa"/>
          </w:tcPr>
          <w:p w:rsidR="006627D8" w:rsidRPr="001763AE" w:rsidRDefault="006627D8" w:rsidP="006627D8">
            <w:pPr>
              <w:jc w:val="center"/>
            </w:pPr>
            <w:r w:rsidRPr="001763AE">
              <w:rPr>
                <w:noProof/>
                <w:lang w:val="en-US"/>
              </w:rPr>
              <w:lastRenderedPageBreak/>
              <w:drawing>
                <wp:inline distT="0" distB="0" distL="0" distR="0">
                  <wp:extent cx="2880000" cy="1846800"/>
                  <wp:effectExtent l="0" t="0" r="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1846800"/>
                          </a:xfrm>
                          <a:prstGeom prst="rect">
                            <a:avLst/>
                          </a:prstGeom>
                          <a:noFill/>
                        </pic:spPr>
                      </pic:pic>
                    </a:graphicData>
                  </a:graphic>
                </wp:inline>
              </w:drawing>
            </w:r>
          </w:p>
        </w:tc>
        <w:tc>
          <w:tcPr>
            <w:tcW w:w="5013" w:type="dxa"/>
          </w:tcPr>
          <w:p w:rsidR="006627D8" w:rsidRPr="001763AE" w:rsidRDefault="0059798B" w:rsidP="0059798B">
            <w:pPr>
              <w:jc w:val="center"/>
            </w:pPr>
            <w:r w:rsidRPr="001763AE">
              <w:rPr>
                <w:noProof/>
                <w:lang w:val="en-US"/>
              </w:rPr>
              <w:drawing>
                <wp:inline distT="0" distB="0" distL="0" distR="0">
                  <wp:extent cx="2880000" cy="1846800"/>
                  <wp:effectExtent l="0" t="0" r="0" b="127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1846800"/>
                          </a:xfrm>
                          <a:prstGeom prst="rect">
                            <a:avLst/>
                          </a:prstGeom>
                          <a:noFill/>
                        </pic:spPr>
                      </pic:pic>
                    </a:graphicData>
                  </a:graphic>
                </wp:inline>
              </w:drawing>
            </w:r>
          </w:p>
        </w:tc>
      </w:tr>
    </w:tbl>
    <w:p w:rsidR="006627D8" w:rsidRPr="001763AE" w:rsidRDefault="006627D8" w:rsidP="006627D8"/>
    <w:p w:rsidR="008D17B1" w:rsidRPr="001763AE" w:rsidRDefault="00AA0CAD" w:rsidP="008D17B1">
      <w:pPr>
        <w:pStyle w:val="Heading5"/>
        <w:rPr>
          <w:b w:val="0"/>
        </w:rPr>
      </w:pPr>
      <w:r w:rsidRPr="001763AE">
        <w:rPr>
          <w:b w:val="0"/>
        </w:rPr>
        <w:t xml:space="preserve">Availability and security of </w:t>
      </w:r>
      <w:r w:rsidR="0001166E" w:rsidRPr="001763AE">
        <w:rPr>
          <w:b w:val="0"/>
        </w:rPr>
        <w:t>income</w:t>
      </w:r>
    </w:p>
    <w:p w:rsidR="00AA0CAD" w:rsidRPr="001763AE" w:rsidRDefault="00AA0CAD" w:rsidP="00DB28F8">
      <w:pPr>
        <w:pStyle w:val="NumberedPara"/>
        <w:numPr>
          <w:ilvl w:val="0"/>
          <w:numId w:val="0"/>
        </w:numPr>
      </w:pPr>
      <w:r w:rsidRPr="001763AE">
        <w:t xml:space="preserve">The current </w:t>
      </w:r>
      <w:r w:rsidR="00731B92">
        <w:t>‘</w:t>
      </w:r>
      <w:r w:rsidRPr="001763AE">
        <w:t>funding mix</w:t>
      </w:r>
      <w:r w:rsidR="00731B92">
        <w:t>’</w:t>
      </w:r>
      <w:r w:rsidRPr="001763AE">
        <w:t xml:space="preserve"> for protected areas is summarised in </w:t>
      </w:r>
      <w:r w:rsidR="00217E75" w:rsidRPr="001763AE">
        <w:fldChar w:fldCharType="begin"/>
      </w:r>
      <w:r w:rsidRPr="001763AE">
        <w:instrText xml:space="preserve"> REF _Ref394157389 \h </w:instrText>
      </w:r>
      <w:r w:rsidR="00217E75" w:rsidRPr="001763AE">
        <w:fldChar w:fldCharType="separate"/>
      </w:r>
      <w:r w:rsidR="00D406FE" w:rsidRPr="001763AE">
        <w:t xml:space="preserve">Table </w:t>
      </w:r>
      <w:r w:rsidR="00D406FE">
        <w:rPr>
          <w:noProof/>
        </w:rPr>
        <w:t>15</w:t>
      </w:r>
      <w:r w:rsidR="00217E75" w:rsidRPr="001763AE">
        <w:fldChar w:fldCharType="end"/>
      </w:r>
      <w:r w:rsidR="00D15AEA" w:rsidRPr="001763AE">
        <w:t xml:space="preserve">. More details about the components of the funding mix are provided under the assessment for Outcome 1. Income for PAs has increased </w:t>
      </w:r>
      <w:r w:rsidR="00BD0B12" w:rsidRPr="001763AE">
        <w:t xml:space="preserve">as a result of its interventions </w:t>
      </w:r>
      <w:r w:rsidR="00D15AEA" w:rsidRPr="001763AE">
        <w:t xml:space="preserve">of the project, but the foreseen </w:t>
      </w:r>
      <w:r w:rsidR="00E2271C" w:rsidRPr="001763AE">
        <w:t>long-term</w:t>
      </w:r>
      <w:r w:rsidR="00D15AEA" w:rsidRPr="001763AE">
        <w:t xml:space="preserve"> solutions (i.e. a ‘</w:t>
      </w:r>
      <w:r w:rsidR="00E2271C" w:rsidRPr="001763AE">
        <w:t>ring-fenced</w:t>
      </w:r>
      <w:r w:rsidR="00D15AEA" w:rsidRPr="001763AE">
        <w:t>’ budget for PAs from the MoECC and/or a substantial flow of income from payments for ecosystem s</w:t>
      </w:r>
      <w:r w:rsidR="00731B92">
        <w:t>ervices) have not materialised.</w:t>
      </w:r>
    </w:p>
    <w:p w:rsidR="00AA0CAD" w:rsidRPr="001763AE" w:rsidRDefault="00AA0CAD" w:rsidP="00AA0CAD">
      <w:pPr>
        <w:pStyle w:val="Caption"/>
      </w:pPr>
      <w:bookmarkStart w:id="23" w:name="_Ref394157389"/>
      <w:r w:rsidRPr="001763AE">
        <w:t xml:space="preserve">Table </w:t>
      </w:r>
      <w:r w:rsidR="00C072C9">
        <w:fldChar w:fldCharType="begin"/>
      </w:r>
      <w:r w:rsidR="00C072C9">
        <w:instrText xml:space="preserve"> SEQ Table \* ARABIC </w:instrText>
      </w:r>
      <w:r w:rsidR="00C072C9">
        <w:fldChar w:fldCharType="separate"/>
      </w:r>
      <w:r w:rsidR="00D406FE">
        <w:rPr>
          <w:noProof/>
        </w:rPr>
        <w:t>15</w:t>
      </w:r>
      <w:r w:rsidR="00C072C9">
        <w:rPr>
          <w:noProof/>
        </w:rPr>
        <w:fldChar w:fldCharType="end"/>
      </w:r>
      <w:bookmarkEnd w:id="23"/>
      <w:r w:rsidRPr="001763AE">
        <w:t xml:space="preserve"> Overview of the current ‘funding mix’ for protected areas </w:t>
      </w:r>
    </w:p>
    <w:tbl>
      <w:tblPr>
        <w:tblStyle w:val="BasicReportTable"/>
        <w:tblW w:w="0" w:type="auto"/>
        <w:tblInd w:w="284" w:type="dxa"/>
        <w:tblLook w:val="04A0" w:firstRow="1" w:lastRow="0" w:firstColumn="1" w:lastColumn="0" w:noHBand="0" w:noVBand="1"/>
      </w:tblPr>
      <w:tblGrid>
        <w:gridCol w:w="1045"/>
        <w:gridCol w:w="1898"/>
        <w:gridCol w:w="2977"/>
        <w:gridCol w:w="3651"/>
      </w:tblGrid>
      <w:tr w:rsidR="00AA0CAD" w:rsidRPr="001763AE" w:rsidTr="001E2AA1">
        <w:trPr>
          <w:cnfStyle w:val="100000000000" w:firstRow="1" w:lastRow="0" w:firstColumn="0" w:lastColumn="0" w:oddVBand="0" w:evenVBand="0" w:oddHBand="0" w:evenHBand="0" w:firstRowFirstColumn="0" w:firstRowLastColumn="0" w:lastRowFirstColumn="0" w:lastRowLastColumn="0"/>
        </w:trPr>
        <w:tc>
          <w:tcPr>
            <w:tcW w:w="1045" w:type="dxa"/>
          </w:tcPr>
          <w:p w:rsidR="00AA0CAD" w:rsidRPr="001763AE" w:rsidRDefault="00AA0CAD" w:rsidP="001E2AA1">
            <w:pPr>
              <w:pStyle w:val="NumberedPara"/>
              <w:numPr>
                <w:ilvl w:val="0"/>
                <w:numId w:val="0"/>
              </w:numPr>
            </w:pPr>
            <w:r w:rsidRPr="001763AE">
              <w:t>Source</w:t>
            </w:r>
            <w:r w:rsidR="002671C0">
              <w:t xml:space="preserve"> of funding</w:t>
            </w:r>
          </w:p>
        </w:tc>
        <w:tc>
          <w:tcPr>
            <w:tcW w:w="1898" w:type="dxa"/>
          </w:tcPr>
          <w:p w:rsidR="00AA0CAD" w:rsidRPr="001763AE" w:rsidRDefault="00AA0CAD" w:rsidP="001E2AA1">
            <w:pPr>
              <w:pStyle w:val="NumberedPara"/>
              <w:numPr>
                <w:ilvl w:val="0"/>
                <w:numId w:val="0"/>
              </w:numPr>
            </w:pPr>
            <w:r w:rsidRPr="001763AE">
              <w:t>Purpose</w:t>
            </w:r>
          </w:p>
        </w:tc>
        <w:tc>
          <w:tcPr>
            <w:tcW w:w="2977" w:type="dxa"/>
          </w:tcPr>
          <w:p w:rsidR="00AA0CAD" w:rsidRPr="001763AE" w:rsidRDefault="00AA0CAD" w:rsidP="001E2AA1">
            <w:pPr>
              <w:pStyle w:val="NumberedPara"/>
              <w:numPr>
                <w:ilvl w:val="0"/>
                <w:numId w:val="0"/>
              </w:numPr>
            </w:pPr>
            <w:r w:rsidRPr="001763AE">
              <w:t>Impact on funding gap.</w:t>
            </w:r>
          </w:p>
        </w:tc>
        <w:tc>
          <w:tcPr>
            <w:tcW w:w="3651" w:type="dxa"/>
          </w:tcPr>
          <w:p w:rsidR="00AA0CAD" w:rsidRPr="001763AE" w:rsidRDefault="00AA0CAD" w:rsidP="001E2AA1">
            <w:pPr>
              <w:pStyle w:val="NumberedPara"/>
              <w:numPr>
                <w:ilvl w:val="0"/>
                <w:numId w:val="0"/>
              </w:numPr>
            </w:pPr>
            <w:r w:rsidRPr="001763AE">
              <w:t>Security and sustainability</w:t>
            </w:r>
          </w:p>
        </w:tc>
      </w:tr>
      <w:tr w:rsidR="00AA0CAD" w:rsidRPr="001763AE" w:rsidTr="001E2AA1">
        <w:tc>
          <w:tcPr>
            <w:tcW w:w="1045" w:type="dxa"/>
          </w:tcPr>
          <w:p w:rsidR="00AA0CAD" w:rsidRPr="001763AE" w:rsidRDefault="00AA0CAD" w:rsidP="001E2AA1">
            <w:pPr>
              <w:pStyle w:val="NumberedPara"/>
              <w:numPr>
                <w:ilvl w:val="0"/>
                <w:numId w:val="0"/>
              </w:numPr>
            </w:pPr>
            <w:r w:rsidRPr="001763AE">
              <w:t>NFA</w:t>
            </w:r>
          </w:p>
        </w:tc>
        <w:tc>
          <w:tcPr>
            <w:tcW w:w="1898" w:type="dxa"/>
          </w:tcPr>
          <w:p w:rsidR="00AA0CAD" w:rsidRPr="001763AE" w:rsidRDefault="00AA0CAD" w:rsidP="001E2AA1">
            <w:pPr>
              <w:pStyle w:val="NumberedPara"/>
              <w:numPr>
                <w:ilvl w:val="0"/>
                <w:numId w:val="0"/>
              </w:numPr>
            </w:pPr>
            <w:r w:rsidRPr="001763AE">
              <w:t>Basic recurrent costs of management</w:t>
            </w:r>
            <w:r w:rsidR="00F72CA2">
              <w:t>.</w:t>
            </w:r>
          </w:p>
          <w:p w:rsidR="00AA0CAD" w:rsidRPr="001763AE" w:rsidRDefault="00AA0CAD" w:rsidP="001E2AA1">
            <w:pPr>
              <w:pStyle w:val="NumberedPara"/>
              <w:numPr>
                <w:ilvl w:val="0"/>
                <w:numId w:val="0"/>
              </w:numPr>
            </w:pPr>
            <w:r w:rsidRPr="001763AE">
              <w:t>Some investments</w:t>
            </w:r>
            <w:r w:rsidR="00F72CA2">
              <w:t>.</w:t>
            </w:r>
          </w:p>
        </w:tc>
        <w:tc>
          <w:tcPr>
            <w:tcW w:w="2977" w:type="dxa"/>
          </w:tcPr>
          <w:p w:rsidR="00AA0CAD" w:rsidRPr="001763AE" w:rsidRDefault="00AA0CAD" w:rsidP="001E2AA1">
            <w:pPr>
              <w:pStyle w:val="NumberedPara"/>
              <w:numPr>
                <w:ilvl w:val="0"/>
                <w:numId w:val="0"/>
              </w:numPr>
            </w:pPr>
            <w:r w:rsidRPr="001763AE">
              <w:t>Net increases directly reduce the funding gap.</w:t>
            </w:r>
          </w:p>
          <w:p w:rsidR="00AA0CAD" w:rsidRPr="001763AE" w:rsidRDefault="00AA0CAD" w:rsidP="001E2AA1">
            <w:pPr>
              <w:pStyle w:val="NumberedPara"/>
              <w:numPr>
                <w:ilvl w:val="0"/>
                <w:numId w:val="0"/>
              </w:numPr>
            </w:pPr>
            <w:r w:rsidRPr="001763AE">
              <w:t>Costs are offset by the NFA against taxable profits and therefore a proportion can be considered state funding in the form of tax foregone.</w:t>
            </w:r>
          </w:p>
        </w:tc>
        <w:tc>
          <w:tcPr>
            <w:tcW w:w="3651" w:type="dxa"/>
          </w:tcPr>
          <w:p w:rsidR="0025256D" w:rsidRDefault="00AA0CAD" w:rsidP="001E2AA1">
            <w:pPr>
              <w:pStyle w:val="NumberedPara"/>
              <w:numPr>
                <w:ilvl w:val="0"/>
                <w:numId w:val="0"/>
              </w:numPr>
            </w:pPr>
            <w:r w:rsidRPr="001763AE">
              <w:t xml:space="preserve">Reliant on </w:t>
            </w:r>
            <w:r w:rsidR="00BE4C65" w:rsidRPr="001763AE">
              <w:t>NFA</w:t>
            </w:r>
            <w:r w:rsidR="00BE4C65">
              <w:t>'</w:t>
            </w:r>
            <w:r w:rsidR="00BE4C65" w:rsidRPr="001763AE">
              <w:t>s</w:t>
            </w:r>
            <w:r w:rsidRPr="001763AE">
              <w:t xml:space="preserve"> continued willingness to pay.</w:t>
            </w:r>
          </w:p>
          <w:p w:rsidR="00AA0CAD" w:rsidRPr="001763AE" w:rsidRDefault="00AA0CAD" w:rsidP="001E2AA1">
            <w:pPr>
              <w:pStyle w:val="NumberedPara"/>
              <w:numPr>
                <w:ilvl w:val="0"/>
                <w:numId w:val="0"/>
              </w:numPr>
            </w:pPr>
            <w:r w:rsidRPr="001763AE">
              <w:t>Uncertainty about renewal of management contracts, especially in PAs with little forest cover.</w:t>
            </w:r>
          </w:p>
        </w:tc>
      </w:tr>
      <w:tr w:rsidR="00AA0CAD" w:rsidRPr="001763AE" w:rsidTr="001E2AA1">
        <w:tc>
          <w:tcPr>
            <w:tcW w:w="1045" w:type="dxa"/>
          </w:tcPr>
          <w:p w:rsidR="00AA0CAD" w:rsidRPr="001763AE" w:rsidRDefault="00AA0CAD" w:rsidP="001E2AA1">
            <w:pPr>
              <w:pStyle w:val="NumberedPara"/>
              <w:numPr>
                <w:ilvl w:val="0"/>
                <w:numId w:val="0"/>
              </w:numPr>
            </w:pPr>
            <w:r w:rsidRPr="001763AE">
              <w:t>MoECC</w:t>
            </w:r>
          </w:p>
        </w:tc>
        <w:tc>
          <w:tcPr>
            <w:tcW w:w="1898" w:type="dxa"/>
          </w:tcPr>
          <w:p w:rsidR="00AA0CAD" w:rsidRPr="001763AE" w:rsidRDefault="00AA0CAD" w:rsidP="001E2AA1">
            <w:pPr>
              <w:pStyle w:val="NumberedPara"/>
              <w:numPr>
                <w:ilvl w:val="0"/>
                <w:numId w:val="0"/>
              </w:numPr>
            </w:pPr>
            <w:r w:rsidRPr="001763AE">
              <w:t>Co-financing and VAT support on multilateral and bilateral projects</w:t>
            </w:r>
            <w:r w:rsidR="00F72CA2">
              <w:t>.</w:t>
            </w:r>
            <w:r w:rsidR="0025256D">
              <w:t xml:space="preserve"> </w:t>
            </w:r>
          </w:p>
        </w:tc>
        <w:tc>
          <w:tcPr>
            <w:tcW w:w="2977" w:type="dxa"/>
          </w:tcPr>
          <w:p w:rsidR="00AA0CAD" w:rsidRPr="001763AE" w:rsidRDefault="00F63694" w:rsidP="001E2AA1">
            <w:pPr>
              <w:pStyle w:val="NumberedPara"/>
              <w:numPr>
                <w:ilvl w:val="0"/>
                <w:numId w:val="0"/>
              </w:numPr>
            </w:pPr>
            <w:r>
              <w:t>Up to $</w:t>
            </w:r>
            <w:r w:rsidR="00AA0CAD" w:rsidRPr="001763AE">
              <w:t>4.5 million support provided, leveraging much larger project expenditure.</w:t>
            </w:r>
          </w:p>
          <w:p w:rsidR="00AA0CAD" w:rsidRPr="001763AE" w:rsidRDefault="00AA0CAD" w:rsidP="002671C0">
            <w:pPr>
              <w:pStyle w:val="NumberedPara"/>
              <w:numPr>
                <w:ilvl w:val="0"/>
                <w:numId w:val="0"/>
              </w:numPr>
            </w:pPr>
            <w:r w:rsidRPr="001763AE">
              <w:t xml:space="preserve">Investments may not relate directly to needs </w:t>
            </w:r>
            <w:r w:rsidR="002671C0">
              <w:t>identified in PA management plans and therefore may not contribute towards closing the gap.</w:t>
            </w:r>
          </w:p>
        </w:tc>
        <w:tc>
          <w:tcPr>
            <w:tcW w:w="3651" w:type="dxa"/>
          </w:tcPr>
          <w:p w:rsidR="00AA0CAD" w:rsidRPr="001763AE" w:rsidRDefault="00AA0CAD" w:rsidP="001E2AA1">
            <w:pPr>
              <w:pStyle w:val="NumberedPara"/>
              <w:numPr>
                <w:ilvl w:val="0"/>
                <w:numId w:val="0"/>
              </w:numPr>
            </w:pPr>
            <w:r w:rsidRPr="001763AE">
              <w:t>Under the PA Law</w:t>
            </w:r>
            <w:r w:rsidR="00F72CA2">
              <w:t>,</w:t>
            </w:r>
            <w:r w:rsidRPr="001763AE">
              <w:t xml:space="preserve"> MoECC is required to fund PAs ‘within the limit of the available budget’. Co-financing and VAT support appears to be secure</w:t>
            </w:r>
            <w:r w:rsidR="002671C0">
              <w:t xml:space="preserve"> for the next EU funding period (up to 2020).</w:t>
            </w:r>
          </w:p>
        </w:tc>
      </w:tr>
      <w:tr w:rsidR="00AA0CAD" w:rsidRPr="001763AE" w:rsidTr="001E2AA1">
        <w:tc>
          <w:tcPr>
            <w:tcW w:w="1045" w:type="dxa"/>
          </w:tcPr>
          <w:p w:rsidR="00AA0CAD" w:rsidRPr="001763AE" w:rsidRDefault="00AA0CAD" w:rsidP="001E2AA1">
            <w:pPr>
              <w:pStyle w:val="NumberedPara"/>
              <w:numPr>
                <w:ilvl w:val="0"/>
                <w:numId w:val="0"/>
              </w:numPr>
            </w:pPr>
            <w:r w:rsidRPr="001763AE">
              <w:t>Donors</w:t>
            </w:r>
          </w:p>
        </w:tc>
        <w:tc>
          <w:tcPr>
            <w:tcW w:w="1898" w:type="dxa"/>
          </w:tcPr>
          <w:p w:rsidR="00AA0CAD" w:rsidRPr="001763AE" w:rsidRDefault="00AA0CAD" w:rsidP="001E2AA1">
            <w:pPr>
              <w:pStyle w:val="NumberedPara"/>
              <w:numPr>
                <w:ilvl w:val="0"/>
                <w:numId w:val="0"/>
              </w:numPr>
            </w:pPr>
            <w:r w:rsidRPr="001763AE">
              <w:t>According to criteria of donors and agreed programmes and projects.</w:t>
            </w:r>
          </w:p>
        </w:tc>
        <w:tc>
          <w:tcPr>
            <w:tcW w:w="2977" w:type="dxa"/>
          </w:tcPr>
          <w:p w:rsidR="002671C0" w:rsidRPr="001763AE" w:rsidRDefault="002671C0" w:rsidP="001E2AA1">
            <w:pPr>
              <w:pStyle w:val="NumberedPara"/>
              <w:numPr>
                <w:ilvl w:val="0"/>
                <w:numId w:val="0"/>
              </w:numPr>
            </w:pPr>
            <w:r w:rsidRPr="001763AE">
              <w:t xml:space="preserve">Investments may not relate directly to needs </w:t>
            </w:r>
            <w:r>
              <w:t>identified in PA management plans and therefore may not contribute towards closing the gap.</w:t>
            </w:r>
          </w:p>
        </w:tc>
        <w:tc>
          <w:tcPr>
            <w:tcW w:w="3651" w:type="dxa"/>
          </w:tcPr>
          <w:p w:rsidR="00AA0CAD" w:rsidRPr="001763AE" w:rsidRDefault="00F72CA2" w:rsidP="001E2AA1">
            <w:pPr>
              <w:pStyle w:val="NumberedPara"/>
              <w:numPr>
                <w:ilvl w:val="0"/>
                <w:numId w:val="0"/>
              </w:numPr>
            </w:pPr>
            <w:r>
              <w:t>Variable;</w:t>
            </w:r>
            <w:r w:rsidR="00AA0CAD" w:rsidRPr="001763AE">
              <w:t xml:space="preserve"> the chances of continued EU support are very high. GEF </w:t>
            </w:r>
            <w:r w:rsidR="002671C0">
              <w:t>funding is no longer available.</w:t>
            </w:r>
          </w:p>
        </w:tc>
      </w:tr>
      <w:tr w:rsidR="00AA0CAD" w:rsidRPr="001763AE" w:rsidTr="001E2AA1">
        <w:tc>
          <w:tcPr>
            <w:tcW w:w="1045" w:type="dxa"/>
          </w:tcPr>
          <w:p w:rsidR="00AA0CAD" w:rsidRPr="001763AE" w:rsidRDefault="00AA0CAD" w:rsidP="001E2AA1">
            <w:pPr>
              <w:pStyle w:val="NumberedPara"/>
              <w:numPr>
                <w:ilvl w:val="0"/>
                <w:numId w:val="0"/>
              </w:numPr>
            </w:pPr>
            <w:r w:rsidRPr="001763AE">
              <w:t>Income generated at the site</w:t>
            </w:r>
          </w:p>
        </w:tc>
        <w:tc>
          <w:tcPr>
            <w:tcW w:w="1898" w:type="dxa"/>
          </w:tcPr>
          <w:p w:rsidR="00AA0CAD" w:rsidRPr="001763AE" w:rsidRDefault="00AA0CAD" w:rsidP="001E2AA1">
            <w:pPr>
              <w:pStyle w:val="NumberedPara"/>
              <w:numPr>
                <w:ilvl w:val="0"/>
                <w:numId w:val="0"/>
              </w:numPr>
            </w:pPr>
            <w:r w:rsidRPr="001763AE">
              <w:t>To cover PA management costs.</w:t>
            </w:r>
          </w:p>
        </w:tc>
        <w:tc>
          <w:tcPr>
            <w:tcW w:w="2977" w:type="dxa"/>
          </w:tcPr>
          <w:p w:rsidR="00AA0CAD" w:rsidRPr="001763AE" w:rsidRDefault="00AA0CAD" w:rsidP="001E2AA1">
            <w:pPr>
              <w:pStyle w:val="NumberedPara"/>
              <w:numPr>
                <w:ilvl w:val="0"/>
                <w:numId w:val="0"/>
              </w:numPr>
            </w:pPr>
            <w:r w:rsidRPr="001763AE">
              <w:t>Will close the funding gap if expenditure is linked to pr</w:t>
            </w:r>
            <w:r w:rsidR="00F72CA2">
              <w:t>iorities in the management plan.</w:t>
            </w:r>
          </w:p>
        </w:tc>
        <w:tc>
          <w:tcPr>
            <w:tcW w:w="3651" w:type="dxa"/>
          </w:tcPr>
          <w:p w:rsidR="00AA0CAD" w:rsidRPr="001763AE" w:rsidRDefault="00AA0CAD" w:rsidP="001E2AA1">
            <w:pPr>
              <w:pStyle w:val="NumberedPara"/>
              <w:numPr>
                <w:ilvl w:val="0"/>
                <w:numId w:val="0"/>
              </w:numPr>
            </w:pPr>
            <w:r w:rsidRPr="001763AE">
              <w:t xml:space="preserve">Dependent on </w:t>
            </w:r>
            <w:r w:rsidR="00F72CA2">
              <w:t xml:space="preserve">the </w:t>
            </w:r>
            <w:r w:rsidRPr="001763AE">
              <w:t>initiative of PA teams.</w:t>
            </w:r>
          </w:p>
          <w:p w:rsidR="00AA0CAD" w:rsidRPr="001763AE" w:rsidRDefault="00AA0CAD" w:rsidP="001E2AA1">
            <w:pPr>
              <w:pStyle w:val="NumberedPara"/>
              <w:numPr>
                <w:ilvl w:val="0"/>
                <w:numId w:val="0"/>
              </w:numPr>
            </w:pPr>
            <w:r w:rsidRPr="001763AE">
              <w:t>Direct and opportunity costs are incurred by PA team fund raising activities.</w:t>
            </w:r>
          </w:p>
          <w:p w:rsidR="00AA0CAD" w:rsidRPr="001763AE" w:rsidRDefault="00F72CA2" w:rsidP="001E2AA1">
            <w:pPr>
              <w:pStyle w:val="NumberedPara"/>
              <w:numPr>
                <w:ilvl w:val="0"/>
                <w:numId w:val="0"/>
              </w:numPr>
            </w:pPr>
            <w:r>
              <w:t>Potential differences</w:t>
            </w:r>
            <w:r w:rsidR="00AA0CAD" w:rsidRPr="001763AE">
              <w:t xml:space="preserve"> between PAs.</w:t>
            </w:r>
          </w:p>
        </w:tc>
      </w:tr>
    </w:tbl>
    <w:p w:rsidR="0001166E" w:rsidRPr="001763AE" w:rsidRDefault="00D15AEA" w:rsidP="00DB28F8">
      <w:pPr>
        <w:pStyle w:val="NumberedPara"/>
        <w:numPr>
          <w:ilvl w:val="0"/>
          <w:numId w:val="0"/>
        </w:numPr>
      </w:pPr>
      <w:r w:rsidRPr="001763AE">
        <w:t>Even with increased income, t</w:t>
      </w:r>
      <w:r w:rsidR="0001166E" w:rsidRPr="001763AE">
        <w:t xml:space="preserve">he funding gap is only closed when expenditure is used to cover current predicted costs, not to pay for new project activities and investments not included in the management plan. For example, a grant of $1 million to construct a protected area visitor centre does not reduce the funding </w:t>
      </w:r>
      <w:r w:rsidR="0001166E" w:rsidRPr="001763AE">
        <w:lastRenderedPageBreak/>
        <w:t xml:space="preserve">gap by $1 million, unless the budget and financial plan of the protected area had specified that amount for that particular investment; </w:t>
      </w:r>
      <w:r w:rsidR="00F72CA2">
        <w:t xml:space="preserve">instead </w:t>
      </w:r>
      <w:r w:rsidR="0001166E" w:rsidRPr="001763AE">
        <w:t>it adds $1 million to both the income and expenditure columns. Indeed</w:t>
      </w:r>
      <w:r w:rsidR="00F72CA2">
        <w:t>,</w:t>
      </w:r>
      <w:r w:rsidR="0001166E" w:rsidRPr="001763AE">
        <w:t xml:space="preserve"> construction of a large visitor centre may serve to increase the funding gap, because operation and maintenance of the centre will increase the recurrent costs of the protected area, and cost recovery from increased tourism income is by no means guaranteed. Some of the SOP supported activities have definitely covered planned non-recurrent protected area activities (for example, support for baseline surveys and preparation of management plans), but few are likely to have any impact on reducing recurrent operational costs.</w:t>
      </w:r>
    </w:p>
    <w:p w:rsidR="00A724A9" w:rsidRPr="001763AE" w:rsidRDefault="00324475" w:rsidP="00DB28F8">
      <w:pPr>
        <w:pStyle w:val="NumberedPara"/>
        <w:numPr>
          <w:ilvl w:val="0"/>
          <w:numId w:val="0"/>
        </w:numPr>
      </w:pPr>
      <w:r w:rsidRPr="001763AE">
        <w:t xml:space="preserve"> </w:t>
      </w:r>
      <w:r w:rsidR="00654039" w:rsidRPr="001763AE">
        <w:t xml:space="preserve">On balance, </w:t>
      </w:r>
      <w:r w:rsidR="00A724A9" w:rsidRPr="001763AE">
        <w:t xml:space="preserve">achievement of this </w:t>
      </w:r>
      <w:r w:rsidR="001C04C5" w:rsidRPr="001763AE">
        <w:t>target</w:t>
      </w:r>
      <w:r w:rsidR="00A724A9" w:rsidRPr="001763AE">
        <w:t xml:space="preserve"> is rated as </w:t>
      </w:r>
      <w:r w:rsidR="005F3255" w:rsidRPr="001763AE">
        <w:rPr>
          <w:b/>
        </w:rPr>
        <w:t xml:space="preserve">Moderately </w:t>
      </w:r>
      <w:r w:rsidR="00654039" w:rsidRPr="001763AE">
        <w:rPr>
          <w:b/>
        </w:rPr>
        <w:t>S</w:t>
      </w:r>
      <w:r w:rsidR="00A724A9" w:rsidRPr="001763AE">
        <w:rPr>
          <w:b/>
        </w:rPr>
        <w:t>atisfactory</w:t>
      </w:r>
      <w:r w:rsidR="006146A5" w:rsidRPr="001763AE">
        <w:rPr>
          <w:b/>
        </w:rPr>
        <w:t xml:space="preserve"> </w:t>
      </w:r>
      <w:r w:rsidR="000257E4">
        <w:rPr>
          <w:b/>
        </w:rPr>
        <w:t>(MS)</w:t>
      </w:r>
      <w:r w:rsidR="00F72CA2">
        <w:rPr>
          <w:b/>
        </w:rPr>
        <w:t>.</w:t>
      </w:r>
    </w:p>
    <w:p w:rsidR="00324475" w:rsidRPr="001763AE" w:rsidRDefault="00324475" w:rsidP="00324475">
      <w:pPr>
        <w:pStyle w:val="Heading5"/>
      </w:pPr>
      <w:r w:rsidRPr="001763AE">
        <w:t>Coverage with ens</w:t>
      </w:r>
      <w:r w:rsidR="00E651A2" w:rsidRPr="001763AE">
        <w:t>ured financial sustainability</w:t>
      </w:r>
    </w:p>
    <w:p w:rsidR="00324475" w:rsidRPr="001763AE" w:rsidRDefault="00DB28F8" w:rsidP="00DB28F8">
      <w:pPr>
        <w:pStyle w:val="NumberedPara"/>
        <w:numPr>
          <w:ilvl w:val="0"/>
          <w:numId w:val="0"/>
        </w:numPr>
      </w:pPr>
      <w:r>
        <w:t>T</w:t>
      </w:r>
      <w:r w:rsidR="00324475" w:rsidRPr="001763AE">
        <w:t>he expectation of more than 1,000,000 ha with ‘</w:t>
      </w:r>
      <w:r w:rsidR="00324475" w:rsidRPr="001763AE">
        <w:rPr>
          <w:i/>
        </w:rPr>
        <w:t>ensured financial sustainability</w:t>
      </w:r>
      <w:r w:rsidR="00324475" w:rsidRPr="001763AE">
        <w:t>’ was highly unrealistic from the start</w:t>
      </w:r>
      <w:r w:rsidR="00106E6E" w:rsidRPr="001763AE">
        <w:t>,</w:t>
      </w:r>
      <w:r w:rsidR="00E651A2" w:rsidRPr="001763AE">
        <w:t xml:space="preserve"> and </w:t>
      </w:r>
      <w:r w:rsidR="00C54483" w:rsidRPr="001763AE">
        <w:t xml:space="preserve">the Project Document provides </w:t>
      </w:r>
      <w:r w:rsidR="00E651A2" w:rsidRPr="001763AE">
        <w:t xml:space="preserve">no </w:t>
      </w:r>
      <w:r w:rsidR="00106E6E" w:rsidRPr="001763AE">
        <w:t>definition of ensured sustainability and no measurable</w:t>
      </w:r>
      <w:r w:rsidR="006B28C6" w:rsidRPr="001763AE">
        <w:t>s</w:t>
      </w:r>
      <w:r w:rsidR="00106E6E" w:rsidRPr="001763AE">
        <w:t>.</w:t>
      </w:r>
      <w:r w:rsidR="006B28C6" w:rsidRPr="001763AE">
        <w:t xml:space="preserve"> </w:t>
      </w:r>
      <w:r w:rsidR="00C54483" w:rsidRPr="001763AE">
        <w:t>I</w:t>
      </w:r>
      <w:r w:rsidR="00324475" w:rsidRPr="001763AE">
        <w:t xml:space="preserve">n </w:t>
      </w:r>
      <w:r w:rsidR="006B28C6" w:rsidRPr="001763AE">
        <w:t>the absence of these</w:t>
      </w:r>
      <w:r w:rsidR="002671C0">
        <w:t>,</w:t>
      </w:r>
      <w:r w:rsidR="006B28C6" w:rsidRPr="001763AE">
        <w:t xml:space="preserve"> a very rough assessment is made of what has been achieved</w:t>
      </w:r>
      <w:r w:rsidR="00106E6E" w:rsidRPr="001763AE">
        <w:t>:</w:t>
      </w:r>
    </w:p>
    <w:p w:rsidR="00324475" w:rsidRPr="001763AE" w:rsidRDefault="00324475" w:rsidP="005D51D2">
      <w:pPr>
        <w:pStyle w:val="NumberedPara"/>
        <w:numPr>
          <w:ilvl w:val="0"/>
          <w:numId w:val="22"/>
        </w:numPr>
      </w:pPr>
      <w:r w:rsidRPr="001763AE">
        <w:t xml:space="preserve">Area with </w:t>
      </w:r>
      <w:r w:rsidRPr="002671C0">
        <w:rPr>
          <w:u w:val="single"/>
        </w:rPr>
        <w:t>ensured</w:t>
      </w:r>
      <w:r w:rsidRPr="001763AE">
        <w:t xml:space="preserve"> financial sustainability</w:t>
      </w:r>
      <w:r w:rsidR="004B3559" w:rsidRPr="001763AE">
        <w:t>:</w:t>
      </w:r>
      <w:r w:rsidRPr="001763AE">
        <w:t xml:space="preserve"> 0 ha</w:t>
      </w:r>
      <w:r w:rsidR="00F72CA2">
        <w:t>.</w:t>
      </w:r>
    </w:p>
    <w:p w:rsidR="00427F20" w:rsidRPr="001763AE" w:rsidRDefault="00E651A2" w:rsidP="005D51D2">
      <w:pPr>
        <w:pStyle w:val="NumberedPara"/>
        <w:numPr>
          <w:ilvl w:val="0"/>
          <w:numId w:val="22"/>
        </w:numPr>
      </w:pPr>
      <w:r w:rsidRPr="001763AE">
        <w:t xml:space="preserve">Area with </w:t>
      </w:r>
      <w:r w:rsidR="004B3559" w:rsidRPr="002671C0">
        <w:rPr>
          <w:u w:val="single"/>
        </w:rPr>
        <w:t>significantly improved potential</w:t>
      </w:r>
      <w:r w:rsidR="004B3559" w:rsidRPr="001763AE">
        <w:t xml:space="preserve"> for financial sustainability: approx</w:t>
      </w:r>
      <w:r w:rsidR="006C3433" w:rsidRPr="001763AE">
        <w:t>.</w:t>
      </w:r>
      <w:r w:rsidR="00106E6E" w:rsidRPr="001763AE">
        <w:t xml:space="preserve"> </w:t>
      </w:r>
      <w:r w:rsidR="006C3433" w:rsidRPr="001763AE">
        <w:t>3</w:t>
      </w:r>
      <w:r w:rsidR="004B3559" w:rsidRPr="001763AE">
        <w:t>00,000 ha</w:t>
      </w:r>
      <w:r w:rsidR="00427F20" w:rsidRPr="001763AE">
        <w:t>.</w:t>
      </w:r>
      <w:r w:rsidR="00C54483" w:rsidRPr="001763AE">
        <w:t xml:space="preserve"> (Pilot protected areas)</w:t>
      </w:r>
      <w:r w:rsidR="00F72CA2">
        <w:t>.</w:t>
      </w:r>
    </w:p>
    <w:p w:rsidR="00427F20" w:rsidRPr="001763AE" w:rsidRDefault="004B3559" w:rsidP="005D51D2">
      <w:pPr>
        <w:pStyle w:val="NumberedPara"/>
        <w:numPr>
          <w:ilvl w:val="0"/>
          <w:numId w:val="22"/>
        </w:numPr>
      </w:pPr>
      <w:r w:rsidRPr="001763AE">
        <w:t xml:space="preserve">Area with </w:t>
      </w:r>
      <w:r w:rsidRPr="002671C0">
        <w:rPr>
          <w:u w:val="single"/>
        </w:rPr>
        <w:t>somewhat improved potential</w:t>
      </w:r>
      <w:r w:rsidRPr="001763AE">
        <w:t xml:space="preserve"> for financial sustainability: approx</w:t>
      </w:r>
      <w:r w:rsidR="006C3433" w:rsidRPr="001763AE">
        <w:t>.</w:t>
      </w:r>
      <w:r w:rsidR="00C54483" w:rsidRPr="001763AE">
        <w:t xml:space="preserve"> </w:t>
      </w:r>
      <w:r w:rsidR="006C3433" w:rsidRPr="001763AE">
        <w:t>7</w:t>
      </w:r>
      <w:r w:rsidRPr="001763AE">
        <w:t>00,</w:t>
      </w:r>
      <w:r w:rsidR="00324475" w:rsidRPr="001763AE">
        <w:t>000 ha</w:t>
      </w:r>
      <w:r w:rsidR="00427F20" w:rsidRPr="001763AE">
        <w:t>.</w:t>
      </w:r>
      <w:r w:rsidR="00C54483" w:rsidRPr="001763AE">
        <w:t xml:space="preserve"> (Other protected areas)</w:t>
      </w:r>
      <w:r w:rsidR="00F72CA2">
        <w:t>.</w:t>
      </w:r>
    </w:p>
    <w:p w:rsidR="00C54483" w:rsidRPr="001763AE" w:rsidRDefault="00106E6E" w:rsidP="00106E6E">
      <w:pPr>
        <w:pStyle w:val="NumberedPara"/>
        <w:numPr>
          <w:ilvl w:val="0"/>
          <w:numId w:val="0"/>
        </w:numPr>
      </w:pPr>
      <w:r w:rsidRPr="001763AE">
        <w:t xml:space="preserve">Consequently this </w:t>
      </w:r>
      <w:r w:rsidR="003F3039" w:rsidRPr="001763AE">
        <w:t xml:space="preserve">indicator is evaluated as </w:t>
      </w:r>
      <w:r w:rsidR="006B28C6" w:rsidRPr="001763AE">
        <w:rPr>
          <w:b/>
        </w:rPr>
        <w:t>Modera</w:t>
      </w:r>
      <w:r w:rsidR="00654039" w:rsidRPr="001763AE">
        <w:rPr>
          <w:b/>
        </w:rPr>
        <w:t>tely Unsatisfactory (MU)</w:t>
      </w:r>
      <w:r w:rsidR="00651519" w:rsidRPr="001763AE">
        <w:rPr>
          <w:b/>
        </w:rPr>
        <w:t>,</w:t>
      </w:r>
      <w:r w:rsidR="00651519" w:rsidRPr="001763AE">
        <w:t xml:space="preserve"> but less</w:t>
      </w:r>
      <w:r w:rsidR="006B28C6" w:rsidRPr="001763AE">
        <w:t xml:space="preserve"> weight is given to this assessment </w:t>
      </w:r>
      <w:r w:rsidR="00654039" w:rsidRPr="001763AE">
        <w:t>as to the others</w:t>
      </w:r>
      <w:r w:rsidR="003A7820" w:rsidRPr="001763AE">
        <w:t>,</w:t>
      </w:r>
      <w:r w:rsidR="00654039" w:rsidRPr="001763AE">
        <w:t xml:space="preserve"> given the difficulty in measuring it.</w:t>
      </w:r>
    </w:p>
    <w:p w:rsidR="004B3559" w:rsidRPr="001763AE" w:rsidRDefault="004B3559" w:rsidP="004B3559">
      <w:pPr>
        <w:pStyle w:val="NumberedPara"/>
        <w:numPr>
          <w:ilvl w:val="0"/>
          <w:numId w:val="0"/>
        </w:numPr>
        <w:rPr>
          <w:b/>
          <w:i/>
        </w:rPr>
      </w:pPr>
      <w:r w:rsidRPr="001763AE">
        <w:rPr>
          <w:b/>
          <w:i/>
        </w:rPr>
        <w:t>Management Effectiveness</w:t>
      </w:r>
    </w:p>
    <w:p w:rsidR="00427F20" w:rsidRPr="001763AE" w:rsidRDefault="00F41211" w:rsidP="00DB28F8">
      <w:pPr>
        <w:pStyle w:val="NumberedPara"/>
        <w:numPr>
          <w:ilvl w:val="0"/>
          <w:numId w:val="0"/>
        </w:numPr>
      </w:pPr>
      <w:r w:rsidRPr="001763AE">
        <w:t>T</w:t>
      </w:r>
      <w:r w:rsidR="006B374D" w:rsidRPr="001763AE">
        <w:t>he underlying assumption of this project was that improved finance would lead to improved management effectiveness, but no indicators of management effectiveness were formally inc</w:t>
      </w:r>
      <w:r w:rsidR="00841056" w:rsidRPr="001763AE">
        <w:t>luded</w:t>
      </w:r>
      <w:r w:rsidR="00427F20" w:rsidRPr="001763AE">
        <w:t xml:space="preserve">. </w:t>
      </w:r>
      <w:r w:rsidR="00841056" w:rsidRPr="001763AE">
        <w:t xml:space="preserve">However, the project </w:t>
      </w:r>
      <w:r w:rsidR="006B374D" w:rsidRPr="001763AE">
        <w:t>commendably conducted management e</w:t>
      </w:r>
      <w:r w:rsidR="00841056" w:rsidRPr="001763AE">
        <w:t>ffectiveness tracking tool (ME</w:t>
      </w:r>
      <w:r w:rsidR="006B374D" w:rsidRPr="001763AE">
        <w:t>TT) assessments at the beginning and end of the</w:t>
      </w:r>
      <w:r w:rsidR="00841056" w:rsidRPr="001763AE">
        <w:t xml:space="preserve"> project, which do enable some ‘before and after’</w:t>
      </w:r>
      <w:r w:rsidR="006B374D" w:rsidRPr="001763AE">
        <w:t xml:space="preserve"> comparisons</w:t>
      </w:r>
      <w:r w:rsidR="00427F20" w:rsidRPr="001763AE">
        <w:t xml:space="preserve">. </w:t>
      </w:r>
      <w:r w:rsidR="006B374D" w:rsidRPr="001763AE">
        <w:t xml:space="preserve">The results are shown in </w:t>
      </w:r>
      <w:r w:rsidR="00217E75" w:rsidRPr="001763AE">
        <w:fldChar w:fldCharType="begin"/>
      </w:r>
      <w:r w:rsidR="006B374D" w:rsidRPr="001763AE">
        <w:instrText xml:space="preserve"> REF _Ref391209504 \h </w:instrText>
      </w:r>
      <w:r w:rsidR="00217E75" w:rsidRPr="001763AE">
        <w:fldChar w:fldCharType="separate"/>
      </w:r>
      <w:r w:rsidR="00D406FE" w:rsidRPr="001763AE">
        <w:t xml:space="preserve">Table </w:t>
      </w:r>
      <w:r w:rsidR="00D406FE">
        <w:rPr>
          <w:noProof/>
        </w:rPr>
        <w:t>16</w:t>
      </w:r>
      <w:r w:rsidR="00217E75" w:rsidRPr="001763AE">
        <w:fldChar w:fldCharType="end"/>
      </w:r>
      <w:r w:rsidRPr="001763AE">
        <w:t>, and include overall METT scores and scores fo</w:t>
      </w:r>
      <w:r w:rsidR="002671C0">
        <w:t>r the three questions in the METT</w:t>
      </w:r>
      <w:r w:rsidRPr="001763AE">
        <w:t xml:space="preserve"> </w:t>
      </w:r>
      <w:r w:rsidR="00E2271C" w:rsidRPr="001763AE">
        <w:t>assessment, which</w:t>
      </w:r>
      <w:r w:rsidRPr="001763AE">
        <w:t xml:space="preserve"> directly concern financing of the protected areas (questions, 15, 16 and 17)</w:t>
      </w:r>
      <w:r w:rsidR="00427F20" w:rsidRPr="001763AE">
        <w:t>.</w:t>
      </w:r>
    </w:p>
    <w:p w:rsidR="004B3559" w:rsidRPr="001763AE" w:rsidRDefault="004B3559" w:rsidP="004B3559">
      <w:pPr>
        <w:pStyle w:val="Caption"/>
      </w:pPr>
      <w:bookmarkStart w:id="24" w:name="_Ref391209504"/>
      <w:r w:rsidRPr="001763AE">
        <w:t xml:space="preserve">Table </w:t>
      </w:r>
      <w:r w:rsidR="00C072C9">
        <w:fldChar w:fldCharType="begin"/>
      </w:r>
      <w:r w:rsidR="00C072C9">
        <w:instrText xml:space="preserve"> SEQ Table \* ARABIC </w:instrText>
      </w:r>
      <w:r w:rsidR="00C072C9">
        <w:fldChar w:fldCharType="separate"/>
      </w:r>
      <w:r w:rsidR="00D406FE">
        <w:rPr>
          <w:noProof/>
        </w:rPr>
        <w:t>16</w:t>
      </w:r>
      <w:r w:rsidR="00C072C9">
        <w:rPr>
          <w:noProof/>
        </w:rPr>
        <w:fldChar w:fldCharType="end"/>
      </w:r>
      <w:bookmarkEnd w:id="24"/>
      <w:r w:rsidRPr="001763AE">
        <w:t xml:space="preserve"> Changes</w:t>
      </w:r>
      <w:r w:rsidR="00F41211" w:rsidRPr="001763AE">
        <w:t xml:space="preserve"> in protected area</w:t>
      </w:r>
      <w:r w:rsidRPr="001763AE">
        <w:t xml:space="preserve"> in METT scores and scores for METT Financial Elements 2009 and 2014</w:t>
      </w:r>
      <w:r w:rsidR="00F41211" w:rsidRPr="001763AE">
        <w:t xml:space="preserve"> (pilot protected areas are shown in </w:t>
      </w:r>
      <w:r w:rsidR="00F41211" w:rsidRPr="001763AE">
        <w:rPr>
          <w:b/>
        </w:rPr>
        <w:t>bold</w:t>
      </w:r>
      <w:r w:rsidR="00F41211" w:rsidRPr="001763AE">
        <w:t>)</w:t>
      </w:r>
    </w:p>
    <w:tbl>
      <w:tblPr>
        <w:tblStyle w:val="BasicReportTable"/>
        <w:tblW w:w="5000" w:type="pct"/>
        <w:tblLayout w:type="fixed"/>
        <w:tblLook w:val="04A0" w:firstRow="1" w:lastRow="0" w:firstColumn="1" w:lastColumn="0" w:noHBand="0" w:noVBand="1"/>
      </w:tblPr>
      <w:tblGrid>
        <w:gridCol w:w="4007"/>
        <w:gridCol w:w="836"/>
        <w:gridCol w:w="1116"/>
        <w:gridCol w:w="974"/>
        <w:gridCol w:w="1116"/>
        <w:gridCol w:w="836"/>
        <w:gridCol w:w="970"/>
      </w:tblGrid>
      <w:tr w:rsidR="00B12D27" w:rsidRPr="001763AE" w:rsidTr="00B12D27">
        <w:trPr>
          <w:cnfStyle w:val="100000000000" w:firstRow="1" w:lastRow="0" w:firstColumn="0" w:lastColumn="0" w:oddVBand="0" w:evenVBand="0" w:oddHBand="0" w:evenHBand="0" w:firstRowFirstColumn="0" w:firstRowLastColumn="0" w:lastRowFirstColumn="0" w:lastRowLastColumn="0"/>
          <w:trHeight w:val="20"/>
        </w:trPr>
        <w:tc>
          <w:tcPr>
            <w:tcW w:w="2033" w:type="pct"/>
            <w:tcBorders>
              <w:right w:val="single" w:sz="4" w:space="0" w:color="FFFFFF" w:themeColor="background1"/>
            </w:tcBorders>
            <w:noWrap/>
            <w:hideMark/>
          </w:tcPr>
          <w:p w:rsidR="004B3559" w:rsidRPr="001763AE" w:rsidRDefault="004B3559" w:rsidP="00B12D27">
            <w:pPr>
              <w:rPr>
                <w:rFonts w:eastAsia="Times New Roman" w:cs="Times New Roman"/>
                <w:szCs w:val="20"/>
                <w:lang w:eastAsia="en-GB"/>
              </w:rPr>
            </w:pPr>
            <w:r w:rsidRPr="001763AE">
              <w:rPr>
                <w:rFonts w:eastAsia="Times New Roman" w:cs="Times New Roman"/>
                <w:szCs w:val="20"/>
                <w:lang w:eastAsia="en-GB"/>
              </w:rPr>
              <w:t>Protected Area</w:t>
            </w:r>
          </w:p>
        </w:tc>
        <w:tc>
          <w:tcPr>
            <w:tcW w:w="424" w:type="pct"/>
            <w:tcBorders>
              <w:left w:val="single" w:sz="4" w:space="0" w:color="FFFFFF" w:themeColor="background1"/>
              <w:bottom w:val="single" w:sz="4" w:space="0" w:color="FFFFFF" w:themeColor="background1"/>
              <w:right w:val="single" w:sz="4" w:space="0" w:color="FFFFFF" w:themeColor="background1"/>
            </w:tcBorders>
            <w:hideMark/>
          </w:tcPr>
          <w:p w:rsidR="004B3559" w:rsidRPr="001763AE" w:rsidRDefault="004B3559" w:rsidP="00B12D27">
            <w:pPr>
              <w:rPr>
                <w:rFonts w:eastAsia="Times New Roman" w:cs="Times New Roman"/>
                <w:szCs w:val="20"/>
                <w:lang w:eastAsia="en-GB"/>
              </w:rPr>
            </w:pPr>
            <w:r w:rsidRPr="001763AE">
              <w:rPr>
                <w:rFonts w:eastAsia="Times New Roman" w:cs="Times New Roman"/>
                <w:szCs w:val="20"/>
                <w:lang w:eastAsia="en-GB"/>
              </w:rPr>
              <w:t>METT</w:t>
            </w:r>
            <w:r w:rsidR="006B374D" w:rsidRPr="001763AE">
              <w:rPr>
                <w:rFonts w:eastAsia="Times New Roman" w:cs="Times New Roman"/>
                <w:szCs w:val="20"/>
                <w:lang w:eastAsia="en-GB"/>
              </w:rPr>
              <w:t xml:space="preserve"> Score</w:t>
            </w:r>
          </w:p>
        </w:tc>
        <w:tc>
          <w:tcPr>
            <w:tcW w:w="566" w:type="pct"/>
            <w:tcBorders>
              <w:left w:val="single" w:sz="4" w:space="0" w:color="FFFFFF" w:themeColor="background1"/>
              <w:bottom w:val="single" w:sz="4" w:space="0" w:color="FFFFFF" w:themeColor="background1"/>
              <w:right w:val="single" w:sz="4" w:space="0" w:color="FFFFFF" w:themeColor="background1"/>
            </w:tcBorders>
            <w:hideMark/>
          </w:tcPr>
          <w:p w:rsidR="004B3559" w:rsidRPr="001763AE" w:rsidRDefault="00F41211" w:rsidP="00B12D27">
            <w:pPr>
              <w:rPr>
                <w:rFonts w:eastAsia="Times New Roman" w:cs="Times New Roman"/>
                <w:szCs w:val="20"/>
                <w:lang w:eastAsia="en-GB"/>
              </w:rPr>
            </w:pPr>
            <w:r w:rsidRPr="001763AE">
              <w:rPr>
                <w:rFonts w:eastAsia="Times New Roman" w:cs="Times New Roman"/>
                <w:szCs w:val="20"/>
                <w:lang w:eastAsia="en-GB"/>
              </w:rPr>
              <w:t xml:space="preserve">Financial </w:t>
            </w:r>
            <w:r w:rsidR="004B3559" w:rsidRPr="001763AE">
              <w:rPr>
                <w:rFonts w:eastAsia="Times New Roman" w:cs="Times New Roman"/>
                <w:szCs w:val="20"/>
                <w:lang w:eastAsia="en-GB"/>
              </w:rPr>
              <w:t>Questions 15/16/17</w:t>
            </w:r>
          </w:p>
        </w:tc>
        <w:tc>
          <w:tcPr>
            <w:tcW w:w="494" w:type="pct"/>
            <w:tcBorders>
              <w:left w:val="single" w:sz="4" w:space="0" w:color="FFFFFF" w:themeColor="background1"/>
              <w:bottom w:val="single" w:sz="4" w:space="0" w:color="FFFFFF" w:themeColor="background1"/>
              <w:right w:val="single" w:sz="4" w:space="0" w:color="FFFFFF" w:themeColor="background1"/>
            </w:tcBorders>
            <w:hideMark/>
          </w:tcPr>
          <w:p w:rsidR="004B3559" w:rsidRPr="001763AE" w:rsidRDefault="004B3559" w:rsidP="00B12D27">
            <w:pPr>
              <w:rPr>
                <w:rFonts w:eastAsia="Times New Roman" w:cs="Times New Roman"/>
                <w:szCs w:val="20"/>
                <w:lang w:eastAsia="en-GB"/>
              </w:rPr>
            </w:pPr>
            <w:r w:rsidRPr="001763AE">
              <w:rPr>
                <w:rFonts w:eastAsia="Times New Roman" w:cs="Times New Roman"/>
                <w:szCs w:val="20"/>
                <w:lang w:eastAsia="en-GB"/>
              </w:rPr>
              <w:t>METT</w:t>
            </w:r>
            <w:r w:rsidR="006B374D" w:rsidRPr="001763AE">
              <w:rPr>
                <w:rFonts w:eastAsia="Times New Roman" w:cs="Times New Roman"/>
                <w:szCs w:val="20"/>
                <w:lang w:eastAsia="en-GB"/>
              </w:rPr>
              <w:t xml:space="preserve"> Score</w:t>
            </w:r>
          </w:p>
        </w:tc>
        <w:tc>
          <w:tcPr>
            <w:tcW w:w="566" w:type="pct"/>
            <w:tcBorders>
              <w:left w:val="single" w:sz="4" w:space="0" w:color="FFFFFF" w:themeColor="background1"/>
              <w:bottom w:val="single" w:sz="4" w:space="0" w:color="FFFFFF" w:themeColor="background1"/>
              <w:right w:val="single" w:sz="4" w:space="0" w:color="FFFFFF" w:themeColor="background1"/>
            </w:tcBorders>
            <w:hideMark/>
          </w:tcPr>
          <w:p w:rsidR="004B3559" w:rsidRPr="001763AE" w:rsidRDefault="00F41211" w:rsidP="00B12D27">
            <w:pPr>
              <w:rPr>
                <w:rFonts w:eastAsia="Times New Roman" w:cs="Times New Roman"/>
                <w:szCs w:val="20"/>
                <w:lang w:eastAsia="en-GB"/>
              </w:rPr>
            </w:pPr>
            <w:r w:rsidRPr="001763AE">
              <w:rPr>
                <w:rFonts w:eastAsia="Times New Roman" w:cs="Times New Roman"/>
                <w:szCs w:val="20"/>
                <w:lang w:eastAsia="en-GB"/>
              </w:rPr>
              <w:t xml:space="preserve">Financial Questions </w:t>
            </w:r>
            <w:r w:rsidR="004B3559" w:rsidRPr="001763AE">
              <w:rPr>
                <w:rFonts w:eastAsia="Times New Roman" w:cs="Times New Roman"/>
                <w:szCs w:val="20"/>
                <w:lang w:eastAsia="en-GB"/>
              </w:rPr>
              <w:t>15/16/17</w:t>
            </w:r>
          </w:p>
        </w:tc>
        <w:tc>
          <w:tcPr>
            <w:tcW w:w="424" w:type="pct"/>
            <w:tcBorders>
              <w:left w:val="single" w:sz="4" w:space="0" w:color="FFFFFF" w:themeColor="background1"/>
              <w:bottom w:val="single" w:sz="4" w:space="0" w:color="FFFFFF" w:themeColor="background1"/>
              <w:right w:val="single" w:sz="4" w:space="0" w:color="FFFFFF" w:themeColor="background1"/>
            </w:tcBorders>
            <w:hideMark/>
          </w:tcPr>
          <w:p w:rsidR="004B3559" w:rsidRPr="001763AE" w:rsidRDefault="004B3559" w:rsidP="00B12D27">
            <w:pPr>
              <w:rPr>
                <w:rFonts w:eastAsia="Times New Roman" w:cs="Times New Roman"/>
                <w:szCs w:val="20"/>
                <w:lang w:eastAsia="en-GB"/>
              </w:rPr>
            </w:pPr>
            <w:r w:rsidRPr="001763AE">
              <w:rPr>
                <w:rFonts w:eastAsia="Times New Roman" w:cs="Times New Roman"/>
                <w:szCs w:val="20"/>
                <w:lang w:eastAsia="en-GB"/>
              </w:rPr>
              <w:t>METT</w:t>
            </w:r>
            <w:r w:rsidR="006B374D" w:rsidRPr="001763AE">
              <w:rPr>
                <w:rFonts w:eastAsia="Times New Roman" w:cs="Times New Roman"/>
                <w:szCs w:val="20"/>
                <w:lang w:eastAsia="en-GB"/>
              </w:rPr>
              <w:t xml:space="preserve"> Score </w:t>
            </w:r>
          </w:p>
        </w:tc>
        <w:tc>
          <w:tcPr>
            <w:tcW w:w="492" w:type="pct"/>
            <w:tcBorders>
              <w:left w:val="single" w:sz="4" w:space="0" w:color="FFFFFF" w:themeColor="background1"/>
              <w:bottom w:val="single" w:sz="4" w:space="0" w:color="FFFFFF" w:themeColor="background1"/>
            </w:tcBorders>
            <w:hideMark/>
          </w:tcPr>
          <w:p w:rsidR="004B3559" w:rsidRPr="001763AE" w:rsidRDefault="004B3559" w:rsidP="00B12D27">
            <w:pPr>
              <w:rPr>
                <w:rFonts w:eastAsia="Times New Roman" w:cs="Times New Roman"/>
                <w:szCs w:val="20"/>
                <w:lang w:eastAsia="en-GB"/>
              </w:rPr>
            </w:pPr>
            <w:r w:rsidRPr="001763AE">
              <w:rPr>
                <w:rFonts w:eastAsia="Times New Roman" w:cs="Times New Roman"/>
                <w:szCs w:val="20"/>
                <w:lang w:eastAsia="en-GB"/>
              </w:rPr>
              <w:t>Questions 15/16/17</w:t>
            </w:r>
          </w:p>
        </w:tc>
      </w:tr>
      <w:tr w:rsidR="004B3559" w:rsidRPr="001763AE" w:rsidTr="00B12D27">
        <w:trPr>
          <w:trHeight w:val="20"/>
        </w:trPr>
        <w:tc>
          <w:tcPr>
            <w:tcW w:w="2033" w:type="pct"/>
            <w:tcBorders>
              <w:bottom w:val="nil"/>
              <w:right w:val="single" w:sz="4" w:space="0" w:color="FFFFFF" w:themeColor="background1"/>
            </w:tcBorders>
            <w:shd w:val="clear" w:color="auto" w:fill="808080" w:themeFill="background1" w:themeFillShade="80"/>
            <w:noWrap/>
          </w:tcPr>
          <w:p w:rsidR="004B3559" w:rsidRPr="001763AE" w:rsidRDefault="004B3559" w:rsidP="00B12D27">
            <w:pPr>
              <w:rPr>
                <w:rFonts w:eastAsia="Times New Roman" w:cs="Times New Roman"/>
                <w:color w:val="FFFFFF" w:themeColor="background1"/>
                <w:szCs w:val="20"/>
                <w:lang w:eastAsia="en-GB"/>
              </w:rPr>
            </w:pPr>
          </w:p>
        </w:tc>
        <w:tc>
          <w:tcPr>
            <w:tcW w:w="990" w:type="pct"/>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808080" w:themeFill="background1" w:themeFillShade="80"/>
            <w:noWrap/>
            <w:vAlign w:val="center"/>
          </w:tcPr>
          <w:p w:rsidR="004B3559" w:rsidRPr="001763AE" w:rsidRDefault="004B3559" w:rsidP="00B12D27">
            <w:pPr>
              <w:jc w:val="center"/>
              <w:rPr>
                <w:rFonts w:eastAsia="Times New Roman" w:cs="Times New Roman"/>
                <w:b/>
                <w:color w:val="FFFFFF" w:themeColor="background1"/>
                <w:szCs w:val="20"/>
                <w:lang w:eastAsia="en-GB"/>
              </w:rPr>
            </w:pPr>
            <w:r w:rsidRPr="001763AE">
              <w:rPr>
                <w:rFonts w:eastAsia="Times New Roman" w:cs="Times New Roman"/>
                <w:b/>
                <w:color w:val="FFFFFF" w:themeColor="background1"/>
                <w:szCs w:val="20"/>
                <w:lang w:eastAsia="en-GB"/>
              </w:rPr>
              <w:t>2009</w:t>
            </w:r>
          </w:p>
        </w:tc>
        <w:tc>
          <w:tcPr>
            <w:tcW w:w="1060" w:type="pct"/>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808080" w:themeFill="background1" w:themeFillShade="80"/>
            <w:noWrap/>
            <w:vAlign w:val="center"/>
          </w:tcPr>
          <w:p w:rsidR="004B3559" w:rsidRPr="001763AE" w:rsidRDefault="004B3559" w:rsidP="00B12D27">
            <w:pPr>
              <w:jc w:val="center"/>
              <w:rPr>
                <w:rFonts w:eastAsia="Times New Roman" w:cs="Times New Roman"/>
                <w:b/>
                <w:color w:val="FFFFFF" w:themeColor="background1"/>
                <w:szCs w:val="20"/>
                <w:lang w:eastAsia="en-GB"/>
              </w:rPr>
            </w:pPr>
            <w:r w:rsidRPr="001763AE">
              <w:rPr>
                <w:rFonts w:eastAsia="Times New Roman" w:cs="Times New Roman"/>
                <w:b/>
                <w:color w:val="FFFFFF" w:themeColor="background1"/>
                <w:szCs w:val="20"/>
                <w:lang w:eastAsia="en-GB"/>
              </w:rPr>
              <w:t>2014</w:t>
            </w:r>
          </w:p>
        </w:tc>
        <w:tc>
          <w:tcPr>
            <w:tcW w:w="916" w:type="pct"/>
            <w:gridSpan w:val="2"/>
            <w:tcBorders>
              <w:top w:val="single" w:sz="4" w:space="0" w:color="FFFFFF" w:themeColor="background1"/>
              <w:left w:val="single" w:sz="4" w:space="0" w:color="FFFFFF" w:themeColor="background1"/>
              <w:bottom w:val="nil"/>
            </w:tcBorders>
            <w:shd w:val="clear" w:color="auto" w:fill="808080" w:themeFill="background1" w:themeFillShade="80"/>
            <w:noWrap/>
            <w:vAlign w:val="center"/>
          </w:tcPr>
          <w:p w:rsidR="00427F20" w:rsidRPr="001763AE" w:rsidRDefault="004B3559" w:rsidP="00B12D27">
            <w:pPr>
              <w:jc w:val="center"/>
              <w:rPr>
                <w:rFonts w:eastAsia="Times New Roman" w:cs="Times New Roman"/>
                <w:b/>
                <w:color w:val="FFFFFF" w:themeColor="background1"/>
                <w:szCs w:val="20"/>
                <w:lang w:eastAsia="en-GB"/>
              </w:rPr>
            </w:pPr>
            <w:r w:rsidRPr="001763AE">
              <w:rPr>
                <w:rFonts w:eastAsia="Times New Roman" w:cs="Times New Roman"/>
                <w:b/>
                <w:color w:val="FFFFFF" w:themeColor="background1"/>
                <w:szCs w:val="20"/>
                <w:lang w:eastAsia="en-GB"/>
              </w:rPr>
              <w:t>Change</w:t>
            </w:r>
          </w:p>
          <w:p w:rsidR="004B3559" w:rsidRPr="001763AE" w:rsidRDefault="004B3559" w:rsidP="00B12D27">
            <w:pPr>
              <w:jc w:val="center"/>
              <w:rPr>
                <w:rFonts w:eastAsia="Times New Roman" w:cs="Times New Roman"/>
                <w:b/>
                <w:color w:val="FFFFFF" w:themeColor="background1"/>
                <w:szCs w:val="20"/>
                <w:lang w:eastAsia="en-GB"/>
              </w:rPr>
            </w:pPr>
            <w:r w:rsidRPr="001763AE">
              <w:rPr>
                <w:rFonts w:eastAsia="Times New Roman" w:cs="Times New Roman"/>
                <w:b/>
                <w:color w:val="FFFFFF" w:themeColor="background1"/>
                <w:szCs w:val="20"/>
                <w:lang w:eastAsia="en-GB"/>
              </w:rPr>
              <w:t>2009 - 2014</w:t>
            </w:r>
          </w:p>
        </w:tc>
      </w:tr>
      <w:tr w:rsidR="00B12D27" w:rsidRPr="001763AE" w:rsidTr="00B12D27">
        <w:trPr>
          <w:trHeight w:val="20"/>
        </w:trPr>
        <w:tc>
          <w:tcPr>
            <w:tcW w:w="2033" w:type="pct"/>
            <w:tcBorders>
              <w:top w:val="nil"/>
            </w:tcBorders>
            <w:noWrap/>
            <w:vAlign w:val="center"/>
          </w:tcPr>
          <w:p w:rsidR="004B3559" w:rsidRPr="001763AE" w:rsidRDefault="004B3559" w:rsidP="00B12D27">
            <w:pP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Apuseni Nature Park</w:t>
            </w:r>
          </w:p>
        </w:tc>
        <w:tc>
          <w:tcPr>
            <w:tcW w:w="424"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61</w:t>
            </w:r>
          </w:p>
        </w:tc>
        <w:tc>
          <w:tcPr>
            <w:tcW w:w="566"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5</w:t>
            </w:r>
          </w:p>
        </w:tc>
        <w:tc>
          <w:tcPr>
            <w:tcW w:w="494"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61</w:t>
            </w:r>
          </w:p>
        </w:tc>
        <w:tc>
          <w:tcPr>
            <w:tcW w:w="566"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4</w:t>
            </w:r>
          </w:p>
        </w:tc>
        <w:tc>
          <w:tcPr>
            <w:tcW w:w="424"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tcBorders>
              <w:top w:val="nil"/>
            </w:tcBorders>
            <w:noWrap/>
            <w:vAlign w:val="center"/>
          </w:tcPr>
          <w:p w:rsidR="004B3559" w:rsidRPr="001763AE" w:rsidRDefault="004B3559" w:rsidP="00B12D27">
            <w:pP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Maramures Mountains Nature Park</w:t>
            </w:r>
          </w:p>
        </w:tc>
        <w:tc>
          <w:tcPr>
            <w:tcW w:w="424"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67</w:t>
            </w:r>
          </w:p>
        </w:tc>
        <w:tc>
          <w:tcPr>
            <w:tcW w:w="566"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6</w:t>
            </w:r>
          </w:p>
        </w:tc>
        <w:tc>
          <w:tcPr>
            <w:tcW w:w="494"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72</w:t>
            </w:r>
          </w:p>
        </w:tc>
        <w:tc>
          <w:tcPr>
            <w:tcW w:w="566"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7</w:t>
            </w:r>
          </w:p>
        </w:tc>
        <w:tc>
          <w:tcPr>
            <w:tcW w:w="424"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tcBorders>
              <w:top w:val="nil"/>
            </w:tcBorders>
            <w:noWrap/>
            <w:vAlign w:val="center"/>
          </w:tcPr>
          <w:p w:rsidR="004B3559" w:rsidRPr="001763AE" w:rsidRDefault="004B3559" w:rsidP="00B12D27">
            <w:pP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Piatra Craiului National Park</w:t>
            </w:r>
          </w:p>
        </w:tc>
        <w:tc>
          <w:tcPr>
            <w:tcW w:w="424"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64</w:t>
            </w:r>
          </w:p>
        </w:tc>
        <w:tc>
          <w:tcPr>
            <w:tcW w:w="566"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6</w:t>
            </w:r>
          </w:p>
        </w:tc>
        <w:tc>
          <w:tcPr>
            <w:tcW w:w="494"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80</w:t>
            </w:r>
          </w:p>
        </w:tc>
        <w:tc>
          <w:tcPr>
            <w:tcW w:w="566"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8</w:t>
            </w:r>
          </w:p>
        </w:tc>
        <w:tc>
          <w:tcPr>
            <w:tcW w:w="424"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tcBorders>
              <w:top w:val="nil"/>
            </w:tcBorders>
            <w:noWrap/>
            <w:vAlign w:val="center"/>
          </w:tcPr>
          <w:p w:rsidR="004B3559" w:rsidRPr="001763AE" w:rsidRDefault="004B3559" w:rsidP="00B12D27">
            <w:pP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Retezat National Park</w:t>
            </w:r>
          </w:p>
        </w:tc>
        <w:tc>
          <w:tcPr>
            <w:tcW w:w="424"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66</w:t>
            </w:r>
          </w:p>
        </w:tc>
        <w:tc>
          <w:tcPr>
            <w:tcW w:w="566"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6</w:t>
            </w:r>
          </w:p>
        </w:tc>
        <w:tc>
          <w:tcPr>
            <w:tcW w:w="494"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76</w:t>
            </w:r>
          </w:p>
        </w:tc>
        <w:tc>
          <w:tcPr>
            <w:tcW w:w="566"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6</w:t>
            </w:r>
          </w:p>
        </w:tc>
        <w:tc>
          <w:tcPr>
            <w:tcW w:w="424"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tcBorders>
              <w:top w:val="nil"/>
            </w:tcBorders>
            <w:noWrap/>
            <w:vAlign w:val="center"/>
          </w:tcPr>
          <w:p w:rsidR="004B3559" w:rsidRPr="001763AE" w:rsidRDefault="004B3559" w:rsidP="00B12D27">
            <w:pP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Vanatori Neamt Nature Park</w:t>
            </w:r>
          </w:p>
        </w:tc>
        <w:tc>
          <w:tcPr>
            <w:tcW w:w="424"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67</w:t>
            </w:r>
          </w:p>
        </w:tc>
        <w:tc>
          <w:tcPr>
            <w:tcW w:w="566"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6</w:t>
            </w:r>
          </w:p>
        </w:tc>
        <w:tc>
          <w:tcPr>
            <w:tcW w:w="494"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67</w:t>
            </w:r>
          </w:p>
        </w:tc>
        <w:tc>
          <w:tcPr>
            <w:tcW w:w="566"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6</w:t>
            </w:r>
          </w:p>
        </w:tc>
        <w:tc>
          <w:tcPr>
            <w:tcW w:w="424"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tcBorders>
              <w:top w:val="nil"/>
            </w:tcBorders>
            <w:noWrap/>
            <w:vAlign w:val="center"/>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noWrap/>
            <w:vAlign w:val="center"/>
            <w:hideMark/>
          </w:tcPr>
          <w:p w:rsidR="004B3559" w:rsidRPr="001763AE" w:rsidRDefault="004B3559" w:rsidP="00B12D27">
            <w:pP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Bucegi Park Nature Park</w:t>
            </w:r>
          </w:p>
        </w:tc>
        <w:tc>
          <w:tcPr>
            <w:tcW w:w="42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60</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w:t>
            </w:r>
          </w:p>
        </w:tc>
        <w:tc>
          <w:tcPr>
            <w:tcW w:w="49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71</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6</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tcBorders>
              <w:top w:val="nil"/>
            </w:tcBorders>
            <w:noWrap/>
            <w:vAlign w:val="center"/>
            <w:hideMark/>
          </w:tcPr>
          <w:p w:rsidR="004B3559" w:rsidRPr="001763AE" w:rsidRDefault="004B3559" w:rsidP="00B12D27">
            <w:pP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Buila-Vanturarita National Park</w:t>
            </w:r>
          </w:p>
        </w:tc>
        <w:tc>
          <w:tcPr>
            <w:tcW w:w="424" w:type="pct"/>
            <w:tcBorders>
              <w:top w:val="nil"/>
            </w:tcBorders>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42</w:t>
            </w:r>
          </w:p>
        </w:tc>
        <w:tc>
          <w:tcPr>
            <w:tcW w:w="566" w:type="pct"/>
            <w:tcBorders>
              <w:top w:val="nil"/>
            </w:tcBorders>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4</w:t>
            </w:r>
          </w:p>
        </w:tc>
        <w:tc>
          <w:tcPr>
            <w:tcW w:w="494" w:type="pct"/>
            <w:tcBorders>
              <w:top w:val="nil"/>
            </w:tcBorders>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59</w:t>
            </w:r>
          </w:p>
        </w:tc>
        <w:tc>
          <w:tcPr>
            <w:tcW w:w="566" w:type="pct"/>
            <w:tcBorders>
              <w:top w:val="nil"/>
            </w:tcBorders>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3</w:t>
            </w:r>
          </w:p>
        </w:tc>
        <w:tc>
          <w:tcPr>
            <w:tcW w:w="424" w:type="pct"/>
            <w:tcBorders>
              <w:top w:val="nil"/>
            </w:tcBorders>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tcBorders>
              <w:top w:val="nil"/>
            </w:tcBorders>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noWrap/>
            <w:vAlign w:val="center"/>
            <w:hideMark/>
          </w:tcPr>
          <w:p w:rsidR="004B3559" w:rsidRPr="001763AE" w:rsidRDefault="004B3559" w:rsidP="00B12D27">
            <w:pP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Calimani National Park</w:t>
            </w:r>
          </w:p>
        </w:tc>
        <w:tc>
          <w:tcPr>
            <w:tcW w:w="42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46</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6</w:t>
            </w:r>
          </w:p>
        </w:tc>
        <w:tc>
          <w:tcPr>
            <w:tcW w:w="49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66</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noWrap/>
            <w:vAlign w:val="center"/>
            <w:hideMark/>
          </w:tcPr>
          <w:p w:rsidR="004B3559" w:rsidRPr="001763AE" w:rsidRDefault="004B3559" w:rsidP="00B12D27">
            <w:pP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Ceahlau National Park</w:t>
            </w:r>
          </w:p>
        </w:tc>
        <w:tc>
          <w:tcPr>
            <w:tcW w:w="42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62</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6</w:t>
            </w:r>
          </w:p>
        </w:tc>
        <w:tc>
          <w:tcPr>
            <w:tcW w:w="49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72</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6</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noWrap/>
            <w:vAlign w:val="center"/>
            <w:hideMark/>
          </w:tcPr>
          <w:p w:rsidR="004B3559" w:rsidRPr="001763AE" w:rsidRDefault="004B3559" w:rsidP="00B12D27">
            <w:pP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Cheile Bicazului-Hasmas National Park</w:t>
            </w:r>
          </w:p>
        </w:tc>
        <w:tc>
          <w:tcPr>
            <w:tcW w:w="42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55</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w:t>
            </w:r>
          </w:p>
        </w:tc>
        <w:tc>
          <w:tcPr>
            <w:tcW w:w="49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60</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noWrap/>
            <w:vAlign w:val="center"/>
            <w:hideMark/>
          </w:tcPr>
          <w:p w:rsidR="004B3559" w:rsidRPr="001763AE" w:rsidRDefault="004B3559" w:rsidP="00B12D27">
            <w:pP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Cheile Nerei Beusnita National</w:t>
            </w:r>
            <w:r w:rsidR="006E16CE" w:rsidRPr="001763AE">
              <w:rPr>
                <w:rFonts w:eastAsia="Times New Roman" w:cs="Times New Roman"/>
                <w:color w:val="000000" w:themeColor="text1"/>
                <w:szCs w:val="20"/>
                <w:lang w:eastAsia="en-GB"/>
              </w:rPr>
              <w:t xml:space="preserve"> </w:t>
            </w:r>
            <w:r w:rsidRPr="001763AE">
              <w:rPr>
                <w:rFonts w:eastAsia="Times New Roman" w:cs="Times New Roman"/>
                <w:color w:val="000000" w:themeColor="text1"/>
                <w:szCs w:val="20"/>
                <w:lang w:eastAsia="en-GB"/>
              </w:rPr>
              <w:t>Park</w:t>
            </w:r>
          </w:p>
        </w:tc>
        <w:tc>
          <w:tcPr>
            <w:tcW w:w="42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52</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3</w:t>
            </w:r>
          </w:p>
        </w:tc>
        <w:tc>
          <w:tcPr>
            <w:tcW w:w="49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55</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4</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noWrap/>
            <w:vAlign w:val="center"/>
            <w:hideMark/>
          </w:tcPr>
          <w:p w:rsidR="004B3559" w:rsidRPr="001763AE" w:rsidRDefault="004B3559" w:rsidP="00B12D27">
            <w:pP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Cozia National Park</w:t>
            </w:r>
          </w:p>
        </w:tc>
        <w:tc>
          <w:tcPr>
            <w:tcW w:w="42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59</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w:t>
            </w:r>
          </w:p>
        </w:tc>
        <w:tc>
          <w:tcPr>
            <w:tcW w:w="49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67</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4</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noWrap/>
            <w:vAlign w:val="center"/>
            <w:hideMark/>
          </w:tcPr>
          <w:p w:rsidR="004B3559" w:rsidRPr="001763AE" w:rsidRDefault="004B3559" w:rsidP="00B12D27">
            <w:pP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Defileul Jiului National Park</w:t>
            </w:r>
          </w:p>
        </w:tc>
        <w:tc>
          <w:tcPr>
            <w:tcW w:w="42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34</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3</w:t>
            </w:r>
          </w:p>
        </w:tc>
        <w:tc>
          <w:tcPr>
            <w:tcW w:w="49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60</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4</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vAlign w:val="center"/>
            <w:hideMark/>
          </w:tcPr>
          <w:p w:rsidR="004B3559" w:rsidRPr="001763AE" w:rsidRDefault="004B3559" w:rsidP="00B12D27">
            <w:pP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Defileul Muresului Superior Nature Park</w:t>
            </w:r>
          </w:p>
        </w:tc>
        <w:tc>
          <w:tcPr>
            <w:tcW w:w="424" w:type="pct"/>
            <w:noWrap/>
            <w:vAlign w:val="center"/>
            <w:hideMark/>
          </w:tcPr>
          <w:p w:rsidR="004B3559" w:rsidRPr="001763AE" w:rsidRDefault="00B12D27"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w:t>
            </w:r>
          </w:p>
        </w:tc>
        <w:tc>
          <w:tcPr>
            <w:tcW w:w="566" w:type="pct"/>
            <w:noWrap/>
            <w:vAlign w:val="center"/>
            <w:hideMark/>
          </w:tcPr>
          <w:p w:rsidR="004B3559" w:rsidRPr="001763AE" w:rsidRDefault="00B12D27"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w:t>
            </w:r>
          </w:p>
        </w:tc>
        <w:tc>
          <w:tcPr>
            <w:tcW w:w="49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(57)</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(6)</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p>
        </w:tc>
        <w:tc>
          <w:tcPr>
            <w:tcW w:w="492"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p>
        </w:tc>
      </w:tr>
      <w:tr w:rsidR="00B12D27" w:rsidRPr="001763AE" w:rsidTr="00B12D27">
        <w:trPr>
          <w:trHeight w:val="20"/>
        </w:trPr>
        <w:tc>
          <w:tcPr>
            <w:tcW w:w="2033" w:type="pct"/>
            <w:noWrap/>
            <w:vAlign w:val="center"/>
            <w:hideMark/>
          </w:tcPr>
          <w:p w:rsidR="004B3559" w:rsidRPr="001763AE" w:rsidRDefault="004B3559" w:rsidP="00B12D27">
            <w:pP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Domogled-Cerna Valley National Park</w:t>
            </w:r>
          </w:p>
        </w:tc>
        <w:tc>
          <w:tcPr>
            <w:tcW w:w="42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53</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w:t>
            </w:r>
          </w:p>
        </w:tc>
        <w:tc>
          <w:tcPr>
            <w:tcW w:w="49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62</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vAlign w:val="center"/>
            <w:hideMark/>
          </w:tcPr>
          <w:p w:rsidR="004B3559" w:rsidRPr="001763AE" w:rsidRDefault="004B3559" w:rsidP="00B12D27">
            <w:pP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lastRenderedPageBreak/>
              <w:t>Geoparcul Dinozaurilor Tara Hategului Natural Park</w:t>
            </w:r>
          </w:p>
        </w:tc>
        <w:tc>
          <w:tcPr>
            <w:tcW w:w="42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42</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3</w:t>
            </w:r>
          </w:p>
        </w:tc>
        <w:tc>
          <w:tcPr>
            <w:tcW w:w="49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47</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3</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noWrap/>
            <w:vAlign w:val="center"/>
            <w:hideMark/>
          </w:tcPr>
          <w:p w:rsidR="004B3559" w:rsidRPr="001763AE" w:rsidRDefault="004B3559" w:rsidP="00B12D27">
            <w:pP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Grădiștea Muncelului -Cioclovina Nature Park</w:t>
            </w:r>
          </w:p>
        </w:tc>
        <w:tc>
          <w:tcPr>
            <w:tcW w:w="42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56</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6</w:t>
            </w:r>
          </w:p>
        </w:tc>
        <w:tc>
          <w:tcPr>
            <w:tcW w:w="49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55</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6</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noWrap/>
            <w:vAlign w:val="center"/>
            <w:hideMark/>
          </w:tcPr>
          <w:p w:rsidR="004B3559" w:rsidRPr="001763AE" w:rsidRDefault="004B3559" w:rsidP="00B12D27">
            <w:pP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Iron Gates Nature Park</w:t>
            </w:r>
          </w:p>
        </w:tc>
        <w:tc>
          <w:tcPr>
            <w:tcW w:w="42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54</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4</w:t>
            </w:r>
          </w:p>
        </w:tc>
        <w:tc>
          <w:tcPr>
            <w:tcW w:w="49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78</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7</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noWrap/>
            <w:vAlign w:val="center"/>
            <w:hideMark/>
          </w:tcPr>
          <w:p w:rsidR="004B3559" w:rsidRPr="001763AE" w:rsidRDefault="004B3559" w:rsidP="00B12D27">
            <w:pP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Platoul Mehedinti Geopark</w:t>
            </w:r>
          </w:p>
        </w:tc>
        <w:tc>
          <w:tcPr>
            <w:tcW w:w="42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37</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2</w:t>
            </w:r>
          </w:p>
        </w:tc>
        <w:tc>
          <w:tcPr>
            <w:tcW w:w="49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41</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3</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noWrap/>
            <w:vAlign w:val="center"/>
            <w:hideMark/>
          </w:tcPr>
          <w:p w:rsidR="004B3559" w:rsidRPr="001763AE" w:rsidRDefault="004B3559" w:rsidP="00B12D27">
            <w:pP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Putna-Vrancea Nature Park</w:t>
            </w:r>
          </w:p>
        </w:tc>
        <w:tc>
          <w:tcPr>
            <w:tcW w:w="42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46</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4</w:t>
            </w:r>
          </w:p>
        </w:tc>
        <w:tc>
          <w:tcPr>
            <w:tcW w:w="49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52</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noWrap/>
            <w:vAlign w:val="center"/>
            <w:hideMark/>
          </w:tcPr>
          <w:p w:rsidR="004B3559" w:rsidRPr="001763AE" w:rsidRDefault="004B3559" w:rsidP="00B12D27">
            <w:pP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Rodna Mountains National Park</w:t>
            </w:r>
          </w:p>
        </w:tc>
        <w:tc>
          <w:tcPr>
            <w:tcW w:w="42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58</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w:t>
            </w:r>
          </w:p>
        </w:tc>
        <w:tc>
          <w:tcPr>
            <w:tcW w:w="49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65</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4</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noWrap/>
            <w:vAlign w:val="center"/>
            <w:hideMark/>
          </w:tcPr>
          <w:p w:rsidR="004B3559" w:rsidRPr="001763AE" w:rsidRDefault="004B3559" w:rsidP="00B12D27">
            <w:pP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Semenic - Cheile Carasului National Park</w:t>
            </w:r>
          </w:p>
        </w:tc>
        <w:tc>
          <w:tcPr>
            <w:tcW w:w="42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49</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6</w:t>
            </w:r>
          </w:p>
        </w:tc>
        <w:tc>
          <w:tcPr>
            <w:tcW w:w="494"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65</w:t>
            </w:r>
          </w:p>
        </w:tc>
        <w:tc>
          <w:tcPr>
            <w:tcW w:w="566" w:type="pct"/>
            <w:noWrap/>
            <w:vAlign w:val="center"/>
            <w:hideMark/>
          </w:tcPr>
          <w:p w:rsidR="004B3559" w:rsidRPr="001763AE" w:rsidRDefault="004B3559" w:rsidP="00B12D27">
            <w:pPr>
              <w:jc w:val="center"/>
              <w:rPr>
                <w:rFonts w:eastAsia="Times New Roman" w:cs="Times New Roman"/>
                <w:color w:val="000000" w:themeColor="text1"/>
                <w:szCs w:val="20"/>
                <w:lang w:eastAsia="en-GB"/>
              </w:rPr>
            </w:pPr>
            <w:r w:rsidRPr="001763AE">
              <w:rPr>
                <w:rFonts w:eastAsia="Times New Roman" w:cs="Times New Roman"/>
                <w:color w:val="000000" w:themeColor="text1"/>
                <w:szCs w:val="20"/>
                <w:lang w:eastAsia="en-GB"/>
              </w:rPr>
              <w:t>5</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r w:rsidR="00B12D27" w:rsidRPr="001763AE" w:rsidTr="00B12D27">
        <w:trPr>
          <w:trHeight w:val="20"/>
        </w:trPr>
        <w:tc>
          <w:tcPr>
            <w:tcW w:w="2033" w:type="pct"/>
            <w:noWrap/>
            <w:vAlign w:val="center"/>
            <w:hideMark/>
          </w:tcPr>
          <w:p w:rsidR="004B3559" w:rsidRPr="001763AE" w:rsidRDefault="004B3559" w:rsidP="00B12D27">
            <w:pP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AVERAGE</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53</w:t>
            </w:r>
            <w:r w:rsidR="00427F20" w:rsidRPr="001763AE">
              <w:rPr>
                <w:rFonts w:eastAsia="Times New Roman" w:cs="Times New Roman"/>
                <w:b/>
                <w:color w:val="000000" w:themeColor="text1"/>
                <w:szCs w:val="20"/>
                <w:lang w:eastAsia="en-GB"/>
              </w:rPr>
              <w:t xml:space="preserve">. </w:t>
            </w:r>
            <w:r w:rsidRPr="001763AE">
              <w:rPr>
                <w:rFonts w:eastAsia="Times New Roman" w:cs="Times New Roman"/>
                <w:b/>
                <w:color w:val="000000" w:themeColor="text1"/>
                <w:szCs w:val="20"/>
                <w:lang w:eastAsia="en-GB"/>
              </w:rPr>
              <w:t>8</w:t>
            </w:r>
          </w:p>
        </w:tc>
        <w:tc>
          <w:tcPr>
            <w:tcW w:w="566"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4</w:t>
            </w:r>
            <w:r w:rsidR="00427F20" w:rsidRPr="001763AE">
              <w:rPr>
                <w:rFonts w:eastAsia="Times New Roman" w:cs="Times New Roman"/>
                <w:b/>
                <w:color w:val="000000" w:themeColor="text1"/>
                <w:szCs w:val="20"/>
                <w:lang w:eastAsia="en-GB"/>
              </w:rPr>
              <w:t xml:space="preserve">. </w:t>
            </w:r>
            <w:r w:rsidRPr="001763AE">
              <w:rPr>
                <w:rFonts w:eastAsia="Times New Roman" w:cs="Times New Roman"/>
                <w:b/>
                <w:color w:val="000000" w:themeColor="text1"/>
                <w:szCs w:val="20"/>
                <w:lang w:eastAsia="en-GB"/>
              </w:rPr>
              <w:t>8</w:t>
            </w:r>
          </w:p>
        </w:tc>
        <w:tc>
          <w:tcPr>
            <w:tcW w:w="49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63</w:t>
            </w:r>
            <w:r w:rsidR="006C3433" w:rsidRPr="001763AE">
              <w:rPr>
                <w:rFonts w:eastAsia="Times New Roman" w:cs="Times New Roman"/>
                <w:b/>
                <w:color w:val="000000" w:themeColor="text1"/>
                <w:szCs w:val="20"/>
                <w:lang w:eastAsia="en-GB"/>
              </w:rPr>
              <w:t>.4</w:t>
            </w:r>
          </w:p>
        </w:tc>
        <w:tc>
          <w:tcPr>
            <w:tcW w:w="566"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5</w:t>
            </w:r>
            <w:r w:rsidR="00427F20" w:rsidRPr="001763AE">
              <w:rPr>
                <w:rFonts w:eastAsia="Times New Roman" w:cs="Times New Roman"/>
                <w:b/>
                <w:color w:val="000000" w:themeColor="text1"/>
                <w:szCs w:val="20"/>
                <w:lang w:eastAsia="en-GB"/>
              </w:rPr>
              <w:t xml:space="preserve">. </w:t>
            </w:r>
            <w:r w:rsidRPr="001763AE">
              <w:rPr>
                <w:rFonts w:eastAsia="Times New Roman" w:cs="Times New Roman"/>
                <w:b/>
                <w:color w:val="000000" w:themeColor="text1"/>
                <w:szCs w:val="20"/>
                <w:lang w:eastAsia="en-GB"/>
              </w:rPr>
              <w:t>0</w:t>
            </w:r>
          </w:p>
        </w:tc>
        <w:tc>
          <w:tcPr>
            <w:tcW w:w="424"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c>
          <w:tcPr>
            <w:tcW w:w="492" w:type="pct"/>
            <w:noWrap/>
            <w:vAlign w:val="center"/>
            <w:hideMark/>
          </w:tcPr>
          <w:p w:rsidR="004B3559" w:rsidRPr="001763AE" w:rsidRDefault="004B3559" w:rsidP="00B12D27">
            <w:pPr>
              <w:jc w:val="center"/>
              <w:rPr>
                <w:rFonts w:eastAsia="Times New Roman" w:cs="Times New Roman"/>
                <w:b/>
                <w:color w:val="000000" w:themeColor="text1"/>
                <w:szCs w:val="20"/>
                <w:lang w:eastAsia="en-GB"/>
              </w:rPr>
            </w:pPr>
            <w:r w:rsidRPr="001763AE">
              <w:rPr>
                <w:rFonts w:eastAsia="Times New Roman" w:cs="Times New Roman"/>
                <w:b/>
                <w:color w:val="000000" w:themeColor="text1"/>
                <w:szCs w:val="20"/>
                <w:lang w:eastAsia="en-GB"/>
              </w:rPr>
              <w:t>+</w:t>
            </w:r>
          </w:p>
        </w:tc>
      </w:tr>
    </w:tbl>
    <w:p w:rsidR="00427F20" w:rsidRPr="001763AE" w:rsidRDefault="00F41211" w:rsidP="00DB28F8">
      <w:pPr>
        <w:pStyle w:val="NumberedPara"/>
        <w:numPr>
          <w:ilvl w:val="0"/>
          <w:numId w:val="0"/>
        </w:numPr>
      </w:pPr>
      <w:r w:rsidRPr="001763AE">
        <w:t>The results sh</w:t>
      </w:r>
      <w:r w:rsidR="00B12D27" w:rsidRPr="001763AE">
        <w:t>ow that the overall average METT</w:t>
      </w:r>
      <w:r w:rsidR="005F3255" w:rsidRPr="001763AE">
        <w:t xml:space="preserve"> </w:t>
      </w:r>
      <w:r w:rsidRPr="001763AE">
        <w:t xml:space="preserve">score has increased by nearly 10 points, </w:t>
      </w:r>
      <w:r w:rsidR="002671C0">
        <w:t xml:space="preserve">which is encouraging, </w:t>
      </w:r>
      <w:r w:rsidRPr="001763AE">
        <w:t xml:space="preserve">but that there are major variations between the </w:t>
      </w:r>
      <w:r w:rsidR="002671C0">
        <w:t>sites</w:t>
      </w:r>
      <w:r w:rsidR="00427F20" w:rsidRPr="001763AE">
        <w:t xml:space="preserve">. </w:t>
      </w:r>
      <w:r w:rsidRPr="001763AE">
        <w:t xml:space="preserve">In </w:t>
      </w:r>
      <w:r w:rsidR="002671C0">
        <w:t xml:space="preserve">three of the </w:t>
      </w:r>
      <w:r w:rsidRPr="001763AE">
        <w:t>pilot protected areas</w:t>
      </w:r>
      <w:r w:rsidR="002671C0">
        <w:t xml:space="preserve"> the score has increased significantly in the past</w:t>
      </w:r>
      <w:r w:rsidRPr="001763AE">
        <w:t xml:space="preserve"> five yea</w:t>
      </w:r>
      <w:r w:rsidR="00841056" w:rsidRPr="001763AE">
        <w:t xml:space="preserve">rs, while in the other </w:t>
      </w:r>
      <w:r w:rsidR="002671C0">
        <w:t>two it has not changed</w:t>
      </w:r>
      <w:r w:rsidR="00427F20" w:rsidRPr="001763AE">
        <w:t xml:space="preserve">. </w:t>
      </w:r>
      <w:r w:rsidRPr="001763AE">
        <w:t>The biggest improvement</w:t>
      </w:r>
      <w:r w:rsidR="00CB227F" w:rsidRPr="001763AE">
        <w:t xml:space="preserve">s have been at </w:t>
      </w:r>
      <w:r w:rsidRPr="001763AE">
        <w:t>Iron Gates Natural Park</w:t>
      </w:r>
      <w:r w:rsidR="00CB227F" w:rsidRPr="001763AE">
        <w:t xml:space="preserve"> and at </w:t>
      </w:r>
      <w:r w:rsidR="00CB227F" w:rsidRPr="001763AE">
        <w:rPr>
          <w:rFonts w:eastAsia="Times New Roman" w:cs="Times New Roman"/>
          <w:color w:val="000000" w:themeColor="text1"/>
          <w:szCs w:val="20"/>
          <w:lang w:eastAsia="en-GB"/>
        </w:rPr>
        <w:t>Defileul Jiului National Park</w:t>
      </w:r>
      <w:r w:rsidR="00427F20" w:rsidRPr="001763AE">
        <w:t xml:space="preserve">. </w:t>
      </w:r>
      <w:r w:rsidRPr="001763AE">
        <w:t>For the financial elements</w:t>
      </w:r>
      <w:r w:rsidR="00CB227F" w:rsidRPr="001763AE">
        <w:t xml:space="preserve"> of METT, the overall average has increased marginally, but has remained unchanged for two of the pilot parks and decreased for one</w:t>
      </w:r>
      <w:r w:rsidR="00427F20" w:rsidRPr="001763AE">
        <w:t xml:space="preserve">. </w:t>
      </w:r>
      <w:r w:rsidR="002319E5">
        <w:t>S</w:t>
      </w:r>
      <w:r w:rsidR="00A665C5" w:rsidRPr="001763AE">
        <w:t xml:space="preserve">ome of those consulted </w:t>
      </w:r>
      <w:r w:rsidR="002319E5">
        <w:t xml:space="preserve">suggested </w:t>
      </w:r>
      <w:r w:rsidR="00CB227F" w:rsidRPr="001763AE">
        <w:t xml:space="preserve">that not too much significance should be given to these results, because the METT </w:t>
      </w:r>
      <w:r w:rsidR="002319E5">
        <w:t xml:space="preserve">assessments </w:t>
      </w:r>
      <w:r w:rsidR="00841056" w:rsidRPr="001763AE">
        <w:t>were conducted</w:t>
      </w:r>
      <w:r w:rsidR="00CB227F" w:rsidRPr="001763AE">
        <w:t xml:space="preserve"> by the Park Directors themselves, not by independent assessors</w:t>
      </w:r>
      <w:r w:rsidR="00A665C5" w:rsidRPr="001763AE">
        <w:t xml:space="preserve"> (althoug</w:t>
      </w:r>
      <w:r w:rsidR="00A8504B">
        <w:t xml:space="preserve">h the scores were validated by </w:t>
      </w:r>
      <w:r w:rsidR="00A665C5" w:rsidRPr="001763AE">
        <w:t>the NFA PA Unit against reports, monitoring records, financial records etc.)</w:t>
      </w:r>
      <w:r w:rsidR="00427F20" w:rsidRPr="001763AE">
        <w:t xml:space="preserve">. </w:t>
      </w:r>
      <w:r w:rsidR="00A665C5" w:rsidRPr="001763AE">
        <w:t>METT does have its flaws</w:t>
      </w:r>
      <w:r w:rsidR="00A8504B">
        <w:t xml:space="preserve"> (mainly related to lack of weighting)</w:t>
      </w:r>
      <w:r w:rsidR="00A665C5" w:rsidRPr="001763AE">
        <w:t xml:space="preserve">, but </w:t>
      </w:r>
      <w:r w:rsidR="00FD0EEE" w:rsidRPr="001763AE">
        <w:t>does provide a general indication of trends</w:t>
      </w:r>
      <w:r w:rsidR="00A8504B">
        <w:t>. The rather mixed results fall short in places of what might be expected over five years, but are difficult to explain. I</w:t>
      </w:r>
      <w:r w:rsidR="00A665C5" w:rsidRPr="001763AE">
        <w:t xml:space="preserve">t is to be hoped that the NFA will continue to use METT assessments in order to track future </w:t>
      </w:r>
      <w:r w:rsidR="00A8504B">
        <w:t>progress of the protected areas, as future assessments may pick up progress related to project achievements that has yet to ‘trickle down’ to all protected areas.</w:t>
      </w:r>
    </w:p>
    <w:p w:rsidR="00841056" w:rsidRPr="001763AE" w:rsidRDefault="00841056" w:rsidP="00841056">
      <w:r w:rsidRPr="001763AE">
        <w:br w:type="page"/>
      </w:r>
    </w:p>
    <w:p w:rsidR="00940762" w:rsidRPr="005F4EAE" w:rsidRDefault="0043572D" w:rsidP="00DB28F8">
      <w:pPr>
        <w:pStyle w:val="Heading3"/>
        <w:numPr>
          <w:ilvl w:val="0"/>
          <w:numId w:val="0"/>
        </w:numPr>
        <w:ind w:left="720" w:hanging="720"/>
        <w:rPr>
          <w:b w:val="0"/>
        </w:rPr>
      </w:pPr>
      <w:bookmarkStart w:id="25" w:name="_Toc396725229"/>
      <w:r w:rsidRPr="001763AE">
        <w:lastRenderedPageBreak/>
        <w:t>O</w:t>
      </w:r>
      <w:r w:rsidR="005F4EAE">
        <w:t>utcome 1.</w:t>
      </w:r>
      <w:bookmarkEnd w:id="25"/>
      <w:r w:rsidR="005F4EAE">
        <w:t xml:space="preserve"> ‘</w:t>
      </w:r>
      <w:r w:rsidR="008D3E97" w:rsidRPr="005F4EAE">
        <w:t>Suppor</w:t>
      </w:r>
      <w:r w:rsidR="00ED184F" w:rsidRPr="005F4EAE">
        <w:t>tive legislative framework and s</w:t>
      </w:r>
      <w:r w:rsidR="008D3E97" w:rsidRPr="005F4EAE">
        <w:t xml:space="preserve">ustainable PA </w:t>
      </w:r>
      <w:r w:rsidR="00ED184F" w:rsidRPr="005F4EAE">
        <w:t>financing s</w:t>
      </w:r>
      <w:r w:rsidR="008D3E97" w:rsidRPr="005F4EAE">
        <w:t>trategy</w:t>
      </w:r>
      <w:r w:rsidR="005F4EAE">
        <w:t>’</w:t>
      </w:r>
    </w:p>
    <w:p w:rsidR="00630A5C" w:rsidRPr="001763AE" w:rsidRDefault="00630A5C" w:rsidP="00630A5C">
      <w:pPr>
        <w:pStyle w:val="Caption"/>
      </w:pPr>
      <w:bookmarkStart w:id="26" w:name="_Ref391283714"/>
      <w:r w:rsidRPr="001763AE">
        <w:t xml:space="preserve">Table </w:t>
      </w:r>
      <w:r w:rsidR="00C072C9">
        <w:fldChar w:fldCharType="begin"/>
      </w:r>
      <w:r w:rsidR="00C072C9">
        <w:instrText xml:space="preserve"> SEQ Table \* ARABIC </w:instrText>
      </w:r>
      <w:r w:rsidR="00C072C9">
        <w:fldChar w:fldCharType="separate"/>
      </w:r>
      <w:r w:rsidR="00D406FE">
        <w:rPr>
          <w:noProof/>
        </w:rPr>
        <w:t>17</w:t>
      </w:r>
      <w:r w:rsidR="00C072C9">
        <w:rPr>
          <w:noProof/>
        </w:rPr>
        <w:fldChar w:fldCharType="end"/>
      </w:r>
      <w:bookmarkEnd w:id="26"/>
      <w:r w:rsidRPr="001763AE">
        <w:t xml:space="preserve"> Summary of results based on indicators for Outcome 1</w:t>
      </w:r>
      <w:r w:rsidR="00427F20" w:rsidRPr="001763AE">
        <w:t xml:space="preserve">. </w:t>
      </w:r>
    </w:p>
    <w:tbl>
      <w:tblPr>
        <w:tblStyle w:val="BasicReportTable"/>
        <w:tblW w:w="4927" w:type="pct"/>
        <w:tblLayout w:type="fixed"/>
        <w:tblLook w:val="04A0" w:firstRow="1" w:lastRow="0" w:firstColumn="1" w:lastColumn="0" w:noHBand="0" w:noVBand="1"/>
      </w:tblPr>
      <w:tblGrid>
        <w:gridCol w:w="1780"/>
        <w:gridCol w:w="1531"/>
        <w:gridCol w:w="966"/>
        <w:gridCol w:w="1039"/>
        <w:gridCol w:w="2507"/>
        <w:gridCol w:w="1020"/>
        <w:gridCol w:w="868"/>
      </w:tblGrid>
      <w:tr w:rsidR="007C63A9" w:rsidRPr="001763AE" w:rsidTr="007C63A9">
        <w:trPr>
          <w:cnfStyle w:val="100000000000" w:firstRow="1" w:lastRow="0" w:firstColumn="0" w:lastColumn="0" w:oddVBand="0" w:evenVBand="0" w:oddHBand="0" w:evenHBand="0" w:firstRowFirstColumn="0" w:firstRowLastColumn="0" w:lastRowFirstColumn="0" w:lastRowLastColumn="0"/>
        </w:trPr>
        <w:tc>
          <w:tcPr>
            <w:tcW w:w="916" w:type="pct"/>
          </w:tcPr>
          <w:p w:rsidR="00630A5C" w:rsidRPr="001763AE" w:rsidRDefault="00630A5C" w:rsidP="0043572D">
            <w:pPr>
              <w:spacing w:line="228" w:lineRule="auto"/>
              <w:rPr>
                <w:sz w:val="18"/>
                <w:szCs w:val="18"/>
              </w:rPr>
            </w:pPr>
            <w:r w:rsidRPr="001763AE">
              <w:rPr>
                <w:sz w:val="18"/>
                <w:szCs w:val="18"/>
              </w:rPr>
              <w:t>Outputs</w:t>
            </w:r>
          </w:p>
        </w:tc>
        <w:tc>
          <w:tcPr>
            <w:tcW w:w="788" w:type="pct"/>
          </w:tcPr>
          <w:p w:rsidR="00630A5C" w:rsidRPr="001763AE" w:rsidRDefault="00630A5C" w:rsidP="0043572D">
            <w:pPr>
              <w:spacing w:line="228" w:lineRule="auto"/>
              <w:rPr>
                <w:sz w:val="18"/>
                <w:szCs w:val="18"/>
              </w:rPr>
            </w:pPr>
            <w:r w:rsidRPr="001763AE">
              <w:rPr>
                <w:sz w:val="18"/>
                <w:szCs w:val="18"/>
              </w:rPr>
              <w:t>Indicators</w:t>
            </w:r>
          </w:p>
        </w:tc>
        <w:tc>
          <w:tcPr>
            <w:tcW w:w="497" w:type="pct"/>
          </w:tcPr>
          <w:p w:rsidR="00630A5C" w:rsidRPr="001763AE" w:rsidRDefault="00630A5C" w:rsidP="0043572D">
            <w:pPr>
              <w:spacing w:line="228" w:lineRule="auto"/>
              <w:rPr>
                <w:sz w:val="18"/>
                <w:szCs w:val="18"/>
              </w:rPr>
            </w:pPr>
            <w:r w:rsidRPr="001763AE">
              <w:rPr>
                <w:sz w:val="18"/>
                <w:szCs w:val="18"/>
              </w:rPr>
              <w:t>Baseline measure</w:t>
            </w:r>
          </w:p>
        </w:tc>
        <w:tc>
          <w:tcPr>
            <w:tcW w:w="535" w:type="pct"/>
          </w:tcPr>
          <w:p w:rsidR="00630A5C" w:rsidRPr="001763AE" w:rsidRDefault="00630A5C" w:rsidP="0043572D">
            <w:pPr>
              <w:spacing w:line="228" w:lineRule="auto"/>
              <w:rPr>
                <w:sz w:val="18"/>
                <w:szCs w:val="18"/>
              </w:rPr>
            </w:pPr>
            <w:r w:rsidRPr="001763AE">
              <w:rPr>
                <w:sz w:val="18"/>
                <w:szCs w:val="18"/>
              </w:rPr>
              <w:t>Target</w:t>
            </w:r>
          </w:p>
        </w:tc>
        <w:tc>
          <w:tcPr>
            <w:tcW w:w="1291" w:type="pct"/>
          </w:tcPr>
          <w:p w:rsidR="00630A5C" w:rsidRPr="001763AE" w:rsidRDefault="00630A5C" w:rsidP="0043572D">
            <w:pPr>
              <w:spacing w:line="228" w:lineRule="auto"/>
              <w:rPr>
                <w:sz w:val="18"/>
                <w:szCs w:val="18"/>
              </w:rPr>
            </w:pPr>
            <w:r w:rsidRPr="001763AE">
              <w:rPr>
                <w:sz w:val="18"/>
                <w:szCs w:val="18"/>
              </w:rPr>
              <w:t>Final measure</w:t>
            </w:r>
          </w:p>
        </w:tc>
        <w:tc>
          <w:tcPr>
            <w:tcW w:w="525" w:type="pct"/>
          </w:tcPr>
          <w:p w:rsidR="00630A5C" w:rsidRPr="001763AE" w:rsidRDefault="00394668" w:rsidP="0043572D">
            <w:pPr>
              <w:spacing w:line="228" w:lineRule="auto"/>
              <w:rPr>
                <w:sz w:val="18"/>
                <w:szCs w:val="18"/>
              </w:rPr>
            </w:pPr>
            <w:r w:rsidRPr="001763AE">
              <w:rPr>
                <w:sz w:val="18"/>
                <w:szCs w:val="18"/>
              </w:rPr>
              <w:t xml:space="preserve">Indicator </w:t>
            </w:r>
            <w:r w:rsidR="00630A5C" w:rsidRPr="001763AE">
              <w:rPr>
                <w:sz w:val="18"/>
                <w:szCs w:val="18"/>
              </w:rPr>
              <w:t>Rating</w:t>
            </w:r>
          </w:p>
        </w:tc>
        <w:tc>
          <w:tcPr>
            <w:tcW w:w="447" w:type="pct"/>
          </w:tcPr>
          <w:p w:rsidR="00630A5C" w:rsidRPr="001763AE" w:rsidRDefault="00394668" w:rsidP="0043572D">
            <w:pPr>
              <w:spacing w:line="228" w:lineRule="auto"/>
              <w:rPr>
                <w:sz w:val="18"/>
                <w:szCs w:val="18"/>
              </w:rPr>
            </w:pPr>
            <w:r w:rsidRPr="001763AE">
              <w:rPr>
                <w:sz w:val="18"/>
                <w:szCs w:val="18"/>
              </w:rPr>
              <w:t xml:space="preserve">Output rating </w:t>
            </w:r>
          </w:p>
        </w:tc>
      </w:tr>
      <w:tr w:rsidR="007C63A9" w:rsidRPr="001763AE" w:rsidTr="007C63A9">
        <w:tc>
          <w:tcPr>
            <w:tcW w:w="916" w:type="pct"/>
          </w:tcPr>
          <w:p w:rsidR="00630A5C" w:rsidRPr="001763AE" w:rsidRDefault="00630A5C" w:rsidP="0043572D">
            <w:pPr>
              <w:spacing w:line="228" w:lineRule="auto"/>
              <w:rPr>
                <w:sz w:val="18"/>
                <w:szCs w:val="18"/>
              </w:rPr>
            </w:pPr>
            <w:r w:rsidRPr="001763AE">
              <w:rPr>
                <w:sz w:val="18"/>
                <w:szCs w:val="18"/>
              </w:rPr>
              <w:t>1</w:t>
            </w:r>
            <w:r w:rsidR="007C63A9" w:rsidRPr="001763AE">
              <w:rPr>
                <w:sz w:val="18"/>
                <w:szCs w:val="18"/>
              </w:rPr>
              <w:t>.</w:t>
            </w:r>
            <w:r w:rsidRPr="001763AE">
              <w:rPr>
                <w:sz w:val="18"/>
                <w:szCs w:val="18"/>
              </w:rPr>
              <w:t>1: A set of by-laws and amendments to the existing legislation developed and promoted</w:t>
            </w:r>
            <w:r w:rsidR="00BE4C28">
              <w:rPr>
                <w:sz w:val="18"/>
                <w:szCs w:val="18"/>
              </w:rPr>
              <w:t>.</w:t>
            </w:r>
          </w:p>
        </w:tc>
        <w:tc>
          <w:tcPr>
            <w:tcW w:w="788" w:type="pct"/>
          </w:tcPr>
          <w:p w:rsidR="00630A5C" w:rsidRPr="001763AE" w:rsidRDefault="00630A5C" w:rsidP="0043572D">
            <w:pPr>
              <w:widowControl w:val="0"/>
              <w:autoSpaceDE w:val="0"/>
              <w:autoSpaceDN w:val="0"/>
              <w:adjustRightInd w:val="0"/>
              <w:spacing w:line="228" w:lineRule="auto"/>
              <w:rPr>
                <w:sz w:val="18"/>
                <w:szCs w:val="18"/>
              </w:rPr>
            </w:pPr>
            <w:r w:rsidRPr="001763AE">
              <w:rPr>
                <w:sz w:val="18"/>
                <w:szCs w:val="18"/>
              </w:rPr>
              <w:t xml:space="preserve">Number of sets of suggestions and regulations </w:t>
            </w:r>
            <w:r w:rsidR="00DA1BEC" w:rsidRPr="001763AE">
              <w:rPr>
                <w:sz w:val="18"/>
                <w:szCs w:val="18"/>
              </w:rPr>
              <w:t>for improving</w:t>
            </w:r>
            <w:r w:rsidRPr="001763AE">
              <w:rPr>
                <w:sz w:val="18"/>
                <w:szCs w:val="18"/>
              </w:rPr>
              <w:t xml:space="preserve"> PA financing legis</w:t>
            </w:r>
            <w:r w:rsidR="00DA1BEC" w:rsidRPr="001763AE">
              <w:rPr>
                <w:sz w:val="18"/>
                <w:szCs w:val="18"/>
              </w:rPr>
              <w:t xml:space="preserve">lation, developed and promoted </w:t>
            </w:r>
            <w:r w:rsidRPr="001763AE">
              <w:rPr>
                <w:sz w:val="18"/>
                <w:szCs w:val="18"/>
              </w:rPr>
              <w:t xml:space="preserve">to </w:t>
            </w:r>
            <w:r w:rsidR="00DA1BEC" w:rsidRPr="001763AE">
              <w:rPr>
                <w:sz w:val="18"/>
                <w:szCs w:val="18"/>
              </w:rPr>
              <w:t>decision makers</w:t>
            </w:r>
            <w:r w:rsidR="00BE4C28">
              <w:rPr>
                <w:sz w:val="18"/>
                <w:szCs w:val="18"/>
              </w:rPr>
              <w:t>.</w:t>
            </w:r>
          </w:p>
        </w:tc>
        <w:tc>
          <w:tcPr>
            <w:tcW w:w="497" w:type="pct"/>
          </w:tcPr>
          <w:p w:rsidR="00630A5C" w:rsidRPr="004B09E3" w:rsidRDefault="00630A5C" w:rsidP="0043572D">
            <w:pPr>
              <w:spacing w:line="228" w:lineRule="auto"/>
              <w:rPr>
                <w:rFonts w:cs="Times New Roman"/>
                <w:sz w:val="18"/>
                <w:szCs w:val="18"/>
              </w:rPr>
            </w:pPr>
            <w:r w:rsidRPr="004B09E3">
              <w:rPr>
                <w:rFonts w:cs="Times New Roman"/>
                <w:sz w:val="18"/>
                <w:szCs w:val="18"/>
              </w:rPr>
              <w:t>0</w:t>
            </w:r>
          </w:p>
        </w:tc>
        <w:tc>
          <w:tcPr>
            <w:tcW w:w="535" w:type="pct"/>
          </w:tcPr>
          <w:p w:rsidR="00630A5C" w:rsidRPr="001763AE" w:rsidRDefault="00630A5C" w:rsidP="0043572D">
            <w:pPr>
              <w:spacing w:line="228" w:lineRule="auto"/>
              <w:rPr>
                <w:rFonts w:cs="Times New Roman"/>
                <w:sz w:val="18"/>
                <w:szCs w:val="18"/>
              </w:rPr>
            </w:pPr>
            <w:r w:rsidRPr="001763AE">
              <w:rPr>
                <w:rFonts w:cs="Times New Roman"/>
                <w:sz w:val="18"/>
                <w:szCs w:val="18"/>
              </w:rPr>
              <w:t xml:space="preserve">5 </w:t>
            </w:r>
          </w:p>
        </w:tc>
        <w:tc>
          <w:tcPr>
            <w:tcW w:w="1291" w:type="pct"/>
          </w:tcPr>
          <w:p w:rsidR="00427F20" w:rsidRPr="001763AE" w:rsidRDefault="00630A5C" w:rsidP="0043572D">
            <w:pPr>
              <w:spacing w:line="228" w:lineRule="auto"/>
              <w:rPr>
                <w:rFonts w:cs="Times New Roman"/>
                <w:sz w:val="18"/>
                <w:szCs w:val="18"/>
              </w:rPr>
            </w:pPr>
            <w:r w:rsidRPr="001763AE">
              <w:rPr>
                <w:rFonts w:cs="Times New Roman"/>
                <w:sz w:val="18"/>
                <w:szCs w:val="18"/>
              </w:rPr>
              <w:t>At least 12 detailed proposals made</w:t>
            </w:r>
            <w:r w:rsidR="00427F20" w:rsidRPr="001763AE">
              <w:rPr>
                <w:rFonts w:cs="Times New Roman"/>
                <w:sz w:val="18"/>
                <w:szCs w:val="18"/>
              </w:rPr>
              <w:t>.</w:t>
            </w:r>
          </w:p>
          <w:p w:rsidR="00427F20" w:rsidRPr="001763AE" w:rsidRDefault="00630A5C" w:rsidP="0043572D">
            <w:pPr>
              <w:spacing w:line="228" w:lineRule="auto"/>
              <w:rPr>
                <w:rFonts w:cs="Times New Roman"/>
                <w:sz w:val="18"/>
                <w:szCs w:val="18"/>
              </w:rPr>
            </w:pPr>
            <w:r w:rsidRPr="001763AE">
              <w:rPr>
                <w:rFonts w:cs="Times New Roman"/>
                <w:sz w:val="18"/>
                <w:szCs w:val="18"/>
              </w:rPr>
              <w:t>7 not approved</w:t>
            </w:r>
            <w:r w:rsidR="00427F20" w:rsidRPr="001763AE">
              <w:rPr>
                <w:rFonts w:cs="Times New Roman"/>
                <w:sz w:val="18"/>
                <w:szCs w:val="18"/>
              </w:rPr>
              <w:t>.</w:t>
            </w:r>
          </w:p>
          <w:p w:rsidR="00427F20" w:rsidRPr="001763AE" w:rsidRDefault="00630A5C" w:rsidP="0043572D">
            <w:pPr>
              <w:spacing w:line="228" w:lineRule="auto"/>
              <w:rPr>
                <w:rFonts w:cs="Times New Roman"/>
                <w:sz w:val="18"/>
                <w:szCs w:val="18"/>
              </w:rPr>
            </w:pPr>
            <w:r w:rsidRPr="001763AE">
              <w:rPr>
                <w:rFonts w:cs="Times New Roman"/>
                <w:sz w:val="18"/>
                <w:szCs w:val="18"/>
              </w:rPr>
              <w:t>4 approved (all relating to co-financing and support for EU and bilateral funding)</w:t>
            </w:r>
            <w:r w:rsidR="00427F20" w:rsidRPr="001763AE">
              <w:rPr>
                <w:rFonts w:cs="Times New Roman"/>
                <w:sz w:val="18"/>
                <w:szCs w:val="18"/>
              </w:rPr>
              <w:t>.</w:t>
            </w:r>
          </w:p>
          <w:p w:rsidR="00630A5C" w:rsidRPr="001763AE" w:rsidRDefault="00E06B43" w:rsidP="0043572D">
            <w:pPr>
              <w:spacing w:line="228" w:lineRule="auto"/>
              <w:rPr>
                <w:rFonts w:cs="Times New Roman"/>
                <w:sz w:val="18"/>
                <w:szCs w:val="18"/>
              </w:rPr>
            </w:pPr>
            <w:r w:rsidRPr="001763AE">
              <w:rPr>
                <w:rFonts w:cs="Times New Roman"/>
                <w:sz w:val="18"/>
                <w:szCs w:val="18"/>
              </w:rPr>
              <w:t>1 pending</w:t>
            </w:r>
            <w:r w:rsidR="00BE4C28">
              <w:rPr>
                <w:rFonts w:cs="Times New Roman"/>
                <w:sz w:val="18"/>
                <w:szCs w:val="18"/>
              </w:rPr>
              <w:t>.</w:t>
            </w:r>
          </w:p>
        </w:tc>
        <w:tc>
          <w:tcPr>
            <w:tcW w:w="525" w:type="pct"/>
            <w:vAlign w:val="center"/>
          </w:tcPr>
          <w:p w:rsidR="00630A5C" w:rsidRPr="001763AE" w:rsidRDefault="001652A2" w:rsidP="0043572D">
            <w:pPr>
              <w:spacing w:line="228" w:lineRule="auto"/>
              <w:jc w:val="center"/>
              <w:rPr>
                <w:rFonts w:cs="Times New Roman"/>
                <w:b/>
                <w:sz w:val="18"/>
                <w:szCs w:val="18"/>
              </w:rPr>
            </w:pPr>
            <w:r w:rsidRPr="001763AE">
              <w:rPr>
                <w:rFonts w:cs="Times New Roman"/>
                <w:b/>
                <w:sz w:val="18"/>
                <w:szCs w:val="18"/>
              </w:rPr>
              <w:t>M</w:t>
            </w:r>
            <w:r w:rsidR="00630A5C" w:rsidRPr="001763AE">
              <w:rPr>
                <w:rFonts w:cs="Times New Roman"/>
                <w:b/>
                <w:sz w:val="18"/>
                <w:szCs w:val="18"/>
              </w:rPr>
              <w:t>S</w:t>
            </w:r>
          </w:p>
        </w:tc>
        <w:tc>
          <w:tcPr>
            <w:tcW w:w="447" w:type="pct"/>
            <w:vAlign w:val="center"/>
          </w:tcPr>
          <w:p w:rsidR="00630A5C" w:rsidRPr="001763AE" w:rsidRDefault="001652A2" w:rsidP="0043572D">
            <w:pPr>
              <w:spacing w:line="228" w:lineRule="auto"/>
              <w:jc w:val="center"/>
              <w:rPr>
                <w:rFonts w:cs="Times New Roman"/>
                <w:b/>
                <w:sz w:val="18"/>
                <w:szCs w:val="18"/>
              </w:rPr>
            </w:pPr>
            <w:r w:rsidRPr="001763AE">
              <w:rPr>
                <w:rFonts w:cs="Times New Roman"/>
                <w:b/>
                <w:sz w:val="18"/>
                <w:szCs w:val="18"/>
              </w:rPr>
              <w:t>M</w:t>
            </w:r>
            <w:r w:rsidR="00630A5C" w:rsidRPr="001763AE">
              <w:rPr>
                <w:rFonts w:cs="Times New Roman"/>
                <w:b/>
                <w:sz w:val="18"/>
                <w:szCs w:val="18"/>
              </w:rPr>
              <w:t>S</w:t>
            </w:r>
          </w:p>
        </w:tc>
      </w:tr>
      <w:tr w:rsidR="007C63A9" w:rsidRPr="001763AE" w:rsidTr="007C63A9">
        <w:tc>
          <w:tcPr>
            <w:tcW w:w="916" w:type="pct"/>
          </w:tcPr>
          <w:p w:rsidR="00630A5C" w:rsidRPr="001763AE" w:rsidRDefault="00630A5C" w:rsidP="0043572D">
            <w:pPr>
              <w:spacing w:line="228" w:lineRule="auto"/>
              <w:rPr>
                <w:sz w:val="18"/>
                <w:szCs w:val="18"/>
              </w:rPr>
            </w:pPr>
            <w:r w:rsidRPr="001763AE">
              <w:rPr>
                <w:sz w:val="18"/>
                <w:szCs w:val="18"/>
              </w:rPr>
              <w:t>1</w:t>
            </w:r>
            <w:r w:rsidR="007C63A9" w:rsidRPr="001763AE">
              <w:rPr>
                <w:sz w:val="18"/>
                <w:szCs w:val="18"/>
              </w:rPr>
              <w:t>.</w:t>
            </w:r>
            <w:r w:rsidRPr="001763AE">
              <w:rPr>
                <w:sz w:val="18"/>
                <w:szCs w:val="18"/>
              </w:rPr>
              <w:t>2: Sustainable Financing Strategy and Action Plan for 22 large PAs in the Roma</w:t>
            </w:r>
            <w:r w:rsidR="00BE4C28">
              <w:rPr>
                <w:sz w:val="18"/>
                <w:szCs w:val="18"/>
              </w:rPr>
              <w:t>nian portion of the Carpathians.</w:t>
            </w:r>
          </w:p>
        </w:tc>
        <w:tc>
          <w:tcPr>
            <w:tcW w:w="788" w:type="pct"/>
          </w:tcPr>
          <w:p w:rsidR="00630A5C" w:rsidRPr="001763AE" w:rsidRDefault="00630A5C" w:rsidP="0043572D">
            <w:pPr>
              <w:widowControl w:val="0"/>
              <w:autoSpaceDE w:val="0"/>
              <w:autoSpaceDN w:val="0"/>
              <w:adjustRightInd w:val="0"/>
              <w:spacing w:line="228" w:lineRule="auto"/>
              <w:rPr>
                <w:sz w:val="18"/>
                <w:szCs w:val="18"/>
              </w:rPr>
            </w:pPr>
            <w:r w:rsidRPr="001763AE">
              <w:rPr>
                <w:sz w:val="18"/>
                <w:szCs w:val="18"/>
              </w:rPr>
              <w:t>No specific indicator set</w:t>
            </w:r>
            <w:r w:rsidR="00BE4C28">
              <w:rPr>
                <w:sz w:val="18"/>
                <w:szCs w:val="18"/>
              </w:rPr>
              <w:t>.</w:t>
            </w:r>
          </w:p>
        </w:tc>
        <w:tc>
          <w:tcPr>
            <w:tcW w:w="497" w:type="pct"/>
          </w:tcPr>
          <w:p w:rsidR="00630A5C" w:rsidRPr="001763AE" w:rsidRDefault="00CE7780" w:rsidP="0043572D">
            <w:pPr>
              <w:pStyle w:val="FootnoteText"/>
              <w:spacing w:line="228" w:lineRule="auto"/>
              <w:rPr>
                <w:rFonts w:cs="Times New Roman"/>
                <w:sz w:val="18"/>
                <w:szCs w:val="18"/>
              </w:rPr>
            </w:pPr>
            <w:r w:rsidRPr="001763AE">
              <w:rPr>
                <w:rFonts w:cs="Times New Roman"/>
                <w:sz w:val="18"/>
                <w:szCs w:val="18"/>
              </w:rPr>
              <w:t>n/a</w:t>
            </w:r>
          </w:p>
        </w:tc>
        <w:tc>
          <w:tcPr>
            <w:tcW w:w="535" w:type="pct"/>
          </w:tcPr>
          <w:p w:rsidR="00630A5C" w:rsidRPr="001763AE" w:rsidRDefault="00CE7780" w:rsidP="0043572D">
            <w:pPr>
              <w:pStyle w:val="FootnoteText"/>
              <w:spacing w:line="228" w:lineRule="auto"/>
              <w:rPr>
                <w:rFonts w:cs="Times New Roman"/>
                <w:sz w:val="18"/>
                <w:szCs w:val="18"/>
              </w:rPr>
            </w:pPr>
            <w:r w:rsidRPr="001763AE">
              <w:rPr>
                <w:rFonts w:cs="Times New Roman"/>
                <w:sz w:val="18"/>
                <w:szCs w:val="18"/>
              </w:rPr>
              <w:t>n/a</w:t>
            </w:r>
          </w:p>
        </w:tc>
        <w:tc>
          <w:tcPr>
            <w:tcW w:w="1291" w:type="pct"/>
          </w:tcPr>
          <w:p w:rsidR="00630A5C" w:rsidRPr="001763AE" w:rsidRDefault="00630A5C" w:rsidP="0043572D">
            <w:pPr>
              <w:spacing w:line="228" w:lineRule="auto"/>
              <w:rPr>
                <w:rFonts w:cs="Times New Roman"/>
                <w:sz w:val="18"/>
                <w:szCs w:val="18"/>
              </w:rPr>
            </w:pPr>
            <w:r w:rsidRPr="001763AE">
              <w:rPr>
                <w:rFonts w:cs="Times New Roman"/>
                <w:sz w:val="18"/>
                <w:szCs w:val="18"/>
              </w:rPr>
              <w:t xml:space="preserve">SFS </w:t>
            </w:r>
            <w:r w:rsidR="00EE3D02" w:rsidRPr="001763AE">
              <w:rPr>
                <w:rFonts w:cs="Times New Roman"/>
                <w:sz w:val="18"/>
                <w:szCs w:val="18"/>
              </w:rPr>
              <w:t>drafted</w:t>
            </w:r>
            <w:r w:rsidRPr="001763AE">
              <w:rPr>
                <w:rFonts w:cs="Times New Roman"/>
                <w:sz w:val="18"/>
                <w:szCs w:val="18"/>
              </w:rPr>
              <w:t xml:space="preserve"> in 2013</w:t>
            </w:r>
            <w:r w:rsidR="00EE3D02" w:rsidRPr="001763AE">
              <w:rPr>
                <w:rFonts w:cs="Times New Roman"/>
                <w:sz w:val="18"/>
                <w:szCs w:val="18"/>
              </w:rPr>
              <w:t xml:space="preserve">, but </w:t>
            </w:r>
            <w:r w:rsidR="00394668" w:rsidRPr="001763AE">
              <w:rPr>
                <w:rFonts w:cs="Times New Roman"/>
                <w:sz w:val="18"/>
                <w:szCs w:val="18"/>
              </w:rPr>
              <w:t>not</w:t>
            </w:r>
            <w:r w:rsidR="00B9142A" w:rsidRPr="001763AE">
              <w:rPr>
                <w:rFonts w:cs="Times New Roman"/>
                <w:sz w:val="18"/>
                <w:szCs w:val="18"/>
              </w:rPr>
              <w:t xml:space="preserve"> yet </w:t>
            </w:r>
            <w:r w:rsidR="00394668" w:rsidRPr="001763AE">
              <w:rPr>
                <w:rFonts w:cs="Times New Roman"/>
                <w:sz w:val="18"/>
                <w:szCs w:val="18"/>
              </w:rPr>
              <w:t xml:space="preserve">finalised or </w:t>
            </w:r>
            <w:r w:rsidR="00EE3D02" w:rsidRPr="001763AE">
              <w:rPr>
                <w:rFonts w:cs="Times New Roman"/>
                <w:sz w:val="18"/>
                <w:szCs w:val="18"/>
              </w:rPr>
              <w:t>adopted by</w:t>
            </w:r>
            <w:r w:rsidRPr="001763AE">
              <w:rPr>
                <w:rFonts w:cs="Times New Roman"/>
                <w:sz w:val="18"/>
                <w:szCs w:val="18"/>
              </w:rPr>
              <w:t xml:space="preserve"> the MoECC or NFA</w:t>
            </w:r>
            <w:r w:rsidR="00BE4C28">
              <w:rPr>
                <w:rFonts w:cs="Times New Roman"/>
                <w:sz w:val="18"/>
                <w:szCs w:val="18"/>
              </w:rPr>
              <w:t>.</w:t>
            </w:r>
          </w:p>
        </w:tc>
        <w:tc>
          <w:tcPr>
            <w:tcW w:w="525" w:type="pct"/>
            <w:vAlign w:val="center"/>
          </w:tcPr>
          <w:p w:rsidR="00630A5C" w:rsidRPr="001763AE" w:rsidRDefault="001652A2" w:rsidP="0043572D">
            <w:pPr>
              <w:spacing w:line="228" w:lineRule="auto"/>
              <w:jc w:val="center"/>
              <w:rPr>
                <w:rFonts w:cs="Times New Roman"/>
                <w:b/>
                <w:sz w:val="18"/>
                <w:szCs w:val="18"/>
              </w:rPr>
            </w:pPr>
            <w:r w:rsidRPr="001763AE">
              <w:rPr>
                <w:rFonts w:cs="Times New Roman"/>
                <w:b/>
                <w:sz w:val="18"/>
                <w:szCs w:val="18"/>
              </w:rPr>
              <w:t>S</w:t>
            </w:r>
          </w:p>
        </w:tc>
        <w:tc>
          <w:tcPr>
            <w:tcW w:w="447" w:type="pct"/>
            <w:vAlign w:val="center"/>
          </w:tcPr>
          <w:p w:rsidR="00630A5C" w:rsidRPr="001763AE" w:rsidRDefault="00630A5C" w:rsidP="0043572D">
            <w:pPr>
              <w:spacing w:line="228" w:lineRule="auto"/>
              <w:jc w:val="center"/>
              <w:rPr>
                <w:rFonts w:cs="Times New Roman"/>
                <w:b/>
                <w:sz w:val="18"/>
                <w:szCs w:val="18"/>
              </w:rPr>
            </w:pPr>
            <w:r w:rsidRPr="001763AE">
              <w:rPr>
                <w:rFonts w:cs="Times New Roman"/>
                <w:b/>
                <w:sz w:val="18"/>
                <w:szCs w:val="18"/>
              </w:rPr>
              <w:t>S</w:t>
            </w:r>
          </w:p>
        </w:tc>
      </w:tr>
      <w:tr w:rsidR="007C63A9" w:rsidRPr="001763AE" w:rsidTr="007C63A9">
        <w:tc>
          <w:tcPr>
            <w:tcW w:w="916" w:type="pct"/>
            <w:vMerge w:val="restart"/>
          </w:tcPr>
          <w:p w:rsidR="00630A5C" w:rsidRPr="001763AE" w:rsidRDefault="00394668" w:rsidP="0043572D">
            <w:pPr>
              <w:spacing w:line="228" w:lineRule="auto"/>
              <w:rPr>
                <w:sz w:val="18"/>
                <w:szCs w:val="18"/>
              </w:rPr>
            </w:pPr>
            <w:r w:rsidRPr="001763AE">
              <w:rPr>
                <w:sz w:val="18"/>
                <w:szCs w:val="18"/>
              </w:rPr>
              <w:t>1</w:t>
            </w:r>
            <w:r w:rsidR="007C63A9" w:rsidRPr="001763AE">
              <w:rPr>
                <w:sz w:val="18"/>
                <w:szCs w:val="18"/>
              </w:rPr>
              <w:t>.</w:t>
            </w:r>
            <w:r w:rsidRPr="001763AE">
              <w:rPr>
                <w:sz w:val="18"/>
                <w:szCs w:val="18"/>
              </w:rPr>
              <w:t xml:space="preserve">3: </w:t>
            </w:r>
            <w:r w:rsidR="00630A5C" w:rsidRPr="001763AE">
              <w:rPr>
                <w:sz w:val="18"/>
                <w:szCs w:val="18"/>
              </w:rPr>
              <w:t>Government commits to gradually increase funding (e</w:t>
            </w:r>
            <w:r w:rsidR="0043572D" w:rsidRPr="001763AE">
              <w:rPr>
                <w:sz w:val="18"/>
                <w:szCs w:val="18"/>
              </w:rPr>
              <w:t>.</w:t>
            </w:r>
            <w:r w:rsidR="00630A5C" w:rsidRPr="001763AE">
              <w:rPr>
                <w:sz w:val="18"/>
                <w:szCs w:val="18"/>
              </w:rPr>
              <w:t>g</w:t>
            </w:r>
            <w:r w:rsidR="007C63A9" w:rsidRPr="001763AE">
              <w:rPr>
                <w:sz w:val="18"/>
                <w:szCs w:val="18"/>
              </w:rPr>
              <w:t>.</w:t>
            </w:r>
            <w:r w:rsidR="0043572D" w:rsidRPr="001763AE">
              <w:rPr>
                <w:sz w:val="18"/>
                <w:szCs w:val="18"/>
              </w:rPr>
              <w:t xml:space="preserve"> </w:t>
            </w:r>
            <w:r w:rsidR="007C63A9" w:rsidRPr="001763AE">
              <w:rPr>
                <w:sz w:val="18"/>
                <w:szCs w:val="18"/>
              </w:rPr>
              <w:t>2</w:t>
            </w:r>
            <w:r w:rsidR="00630A5C" w:rsidRPr="001763AE">
              <w:rPr>
                <w:sz w:val="18"/>
                <w:szCs w:val="18"/>
              </w:rPr>
              <w:t>0% yearly increases from 2</w:t>
            </w:r>
            <w:r w:rsidR="00BE4C28">
              <w:rPr>
                <w:sz w:val="18"/>
                <w:szCs w:val="18"/>
              </w:rPr>
              <w:t>007 level) for the targeted PAs.</w:t>
            </w:r>
          </w:p>
        </w:tc>
        <w:tc>
          <w:tcPr>
            <w:tcW w:w="788" w:type="pct"/>
          </w:tcPr>
          <w:p w:rsidR="00630A5C" w:rsidRPr="001763AE" w:rsidRDefault="00630A5C" w:rsidP="0043572D">
            <w:pPr>
              <w:widowControl w:val="0"/>
              <w:autoSpaceDE w:val="0"/>
              <w:autoSpaceDN w:val="0"/>
              <w:adjustRightInd w:val="0"/>
              <w:spacing w:line="228" w:lineRule="auto"/>
              <w:rPr>
                <w:sz w:val="18"/>
                <w:szCs w:val="18"/>
              </w:rPr>
            </w:pPr>
            <w:r w:rsidRPr="001763AE">
              <w:rPr>
                <w:sz w:val="18"/>
                <w:szCs w:val="18"/>
              </w:rPr>
              <w:t>Funding gap for the Romanian Carpathian PA system</w:t>
            </w:r>
            <w:r w:rsidR="00BE4C28">
              <w:rPr>
                <w:sz w:val="18"/>
                <w:szCs w:val="18"/>
              </w:rPr>
              <w:t>.</w:t>
            </w:r>
          </w:p>
        </w:tc>
        <w:tc>
          <w:tcPr>
            <w:tcW w:w="497" w:type="pct"/>
          </w:tcPr>
          <w:p w:rsidR="00630A5C" w:rsidRPr="001763AE" w:rsidRDefault="00630A5C" w:rsidP="0043572D">
            <w:pPr>
              <w:pStyle w:val="FootnoteText"/>
              <w:spacing w:line="228" w:lineRule="auto"/>
              <w:rPr>
                <w:rFonts w:cs="Times New Roman"/>
                <w:sz w:val="18"/>
                <w:szCs w:val="18"/>
              </w:rPr>
            </w:pPr>
            <w:r w:rsidRPr="001763AE">
              <w:rPr>
                <w:rFonts w:cs="Times New Roman"/>
                <w:sz w:val="18"/>
                <w:szCs w:val="18"/>
              </w:rPr>
              <w:t>$4 M (basic</w:t>
            </w:r>
            <w:r w:rsidR="00394668" w:rsidRPr="001763AE">
              <w:rPr>
                <w:rFonts w:cs="Times New Roman"/>
                <w:sz w:val="18"/>
                <w:szCs w:val="18"/>
              </w:rPr>
              <w:t>)</w:t>
            </w:r>
          </w:p>
          <w:p w:rsidR="00630A5C" w:rsidRPr="001763AE" w:rsidRDefault="00DA1BEC" w:rsidP="0043572D">
            <w:pPr>
              <w:pStyle w:val="FootnoteText"/>
              <w:spacing w:line="228" w:lineRule="auto"/>
              <w:rPr>
                <w:rFonts w:cs="Times New Roman"/>
                <w:sz w:val="18"/>
                <w:szCs w:val="18"/>
              </w:rPr>
            </w:pPr>
            <w:r w:rsidRPr="001763AE">
              <w:rPr>
                <w:rFonts w:cs="Times New Roman"/>
                <w:sz w:val="18"/>
                <w:szCs w:val="18"/>
              </w:rPr>
              <w:t>$</w:t>
            </w:r>
            <w:r w:rsidR="00BE4C65" w:rsidRPr="001763AE">
              <w:rPr>
                <w:rFonts w:cs="Times New Roman"/>
                <w:sz w:val="18"/>
                <w:szCs w:val="18"/>
              </w:rPr>
              <w:t>11</w:t>
            </w:r>
            <w:r w:rsidR="00BE4C65">
              <w:rPr>
                <w:rFonts w:cs="Times New Roman"/>
                <w:sz w:val="18"/>
                <w:szCs w:val="18"/>
              </w:rPr>
              <w:t xml:space="preserve"> </w:t>
            </w:r>
            <w:r w:rsidR="00BE4C65" w:rsidRPr="001763AE">
              <w:rPr>
                <w:rFonts w:cs="Times New Roman"/>
                <w:sz w:val="18"/>
                <w:szCs w:val="18"/>
              </w:rPr>
              <w:t>M</w:t>
            </w:r>
            <w:r w:rsidRPr="001763AE">
              <w:rPr>
                <w:rFonts w:cs="Times New Roman"/>
                <w:sz w:val="18"/>
                <w:szCs w:val="18"/>
              </w:rPr>
              <w:t xml:space="preserve"> (optimal)</w:t>
            </w:r>
          </w:p>
        </w:tc>
        <w:tc>
          <w:tcPr>
            <w:tcW w:w="535" w:type="pct"/>
          </w:tcPr>
          <w:p w:rsidR="00630A5C" w:rsidRPr="001763AE" w:rsidRDefault="00630A5C" w:rsidP="0043572D">
            <w:pPr>
              <w:pStyle w:val="FootnoteText"/>
              <w:spacing w:line="228" w:lineRule="auto"/>
              <w:rPr>
                <w:rFonts w:cs="Times New Roman"/>
                <w:sz w:val="18"/>
                <w:szCs w:val="18"/>
              </w:rPr>
            </w:pPr>
            <w:r w:rsidRPr="001763AE">
              <w:rPr>
                <w:rFonts w:cs="Times New Roman"/>
                <w:sz w:val="18"/>
                <w:szCs w:val="18"/>
              </w:rPr>
              <w:t>&lt;$1 M (basic</w:t>
            </w:r>
            <w:r w:rsidR="00394668" w:rsidRPr="001763AE">
              <w:rPr>
                <w:rFonts w:cs="Times New Roman"/>
                <w:sz w:val="18"/>
                <w:szCs w:val="18"/>
              </w:rPr>
              <w:t>)</w:t>
            </w:r>
            <w:r w:rsidR="00BE4C28">
              <w:rPr>
                <w:rFonts w:cs="Times New Roman"/>
                <w:sz w:val="18"/>
                <w:szCs w:val="18"/>
              </w:rPr>
              <w:t>.</w:t>
            </w:r>
          </w:p>
          <w:p w:rsidR="00630A5C" w:rsidRPr="001763AE" w:rsidRDefault="00630A5C" w:rsidP="0043572D">
            <w:pPr>
              <w:pStyle w:val="FootnoteText"/>
              <w:spacing w:line="228" w:lineRule="auto"/>
              <w:rPr>
                <w:rFonts w:cs="Times New Roman"/>
                <w:sz w:val="18"/>
                <w:szCs w:val="18"/>
              </w:rPr>
            </w:pPr>
            <w:r w:rsidRPr="001763AE">
              <w:rPr>
                <w:rFonts w:cs="Times New Roman"/>
                <w:sz w:val="18"/>
                <w:szCs w:val="18"/>
              </w:rPr>
              <w:t>&lt;$5 M (optimal</w:t>
            </w:r>
            <w:r w:rsidR="00F757CE" w:rsidRPr="001763AE">
              <w:rPr>
                <w:rFonts w:cs="Times New Roman"/>
                <w:sz w:val="18"/>
                <w:szCs w:val="18"/>
              </w:rPr>
              <w:t>)</w:t>
            </w:r>
            <w:r w:rsidR="00BE4C28">
              <w:rPr>
                <w:rFonts w:cs="Times New Roman"/>
                <w:sz w:val="18"/>
                <w:szCs w:val="18"/>
              </w:rPr>
              <w:t>.</w:t>
            </w:r>
          </w:p>
        </w:tc>
        <w:tc>
          <w:tcPr>
            <w:tcW w:w="1291" w:type="pct"/>
          </w:tcPr>
          <w:p w:rsidR="00630A5C" w:rsidRPr="001763AE" w:rsidRDefault="00630A5C" w:rsidP="0043572D">
            <w:pPr>
              <w:spacing w:line="228" w:lineRule="auto"/>
              <w:rPr>
                <w:rFonts w:cs="Times New Roman"/>
                <w:sz w:val="18"/>
                <w:szCs w:val="18"/>
              </w:rPr>
            </w:pPr>
            <w:r w:rsidRPr="001763AE">
              <w:rPr>
                <w:rFonts w:cs="Times New Roman"/>
                <w:sz w:val="18"/>
                <w:szCs w:val="18"/>
              </w:rPr>
              <w:t>From the financial scorecard:</w:t>
            </w:r>
            <w:r w:rsidR="00F757CE" w:rsidRPr="001763AE">
              <w:rPr>
                <w:rFonts w:cs="Times New Roman"/>
                <w:sz w:val="18"/>
                <w:szCs w:val="18"/>
              </w:rPr>
              <w:t xml:space="preserve"> basic/optimal</w:t>
            </w:r>
          </w:p>
          <w:p w:rsidR="00630A5C" w:rsidRPr="001763AE" w:rsidRDefault="00630A5C" w:rsidP="0043572D">
            <w:pPr>
              <w:spacing w:line="228" w:lineRule="auto"/>
              <w:rPr>
                <w:rFonts w:cs="Times New Roman"/>
                <w:sz w:val="18"/>
                <w:szCs w:val="18"/>
              </w:rPr>
            </w:pPr>
            <w:r w:rsidRPr="001763AE">
              <w:rPr>
                <w:rFonts w:cs="Times New Roman"/>
                <w:b/>
                <w:sz w:val="18"/>
                <w:szCs w:val="18"/>
              </w:rPr>
              <w:t>2009</w:t>
            </w:r>
            <w:r w:rsidR="007C63A9" w:rsidRPr="001763AE">
              <w:rPr>
                <w:rFonts w:cs="Times New Roman"/>
                <w:b/>
                <w:sz w:val="18"/>
                <w:szCs w:val="18"/>
              </w:rPr>
              <w:t>:</w:t>
            </w:r>
            <w:r w:rsidRPr="001763AE">
              <w:rPr>
                <w:rFonts w:cs="Times New Roman"/>
                <w:sz w:val="18"/>
                <w:szCs w:val="18"/>
              </w:rPr>
              <w:t>$4,526,061$/</w:t>
            </w:r>
            <w:r w:rsidR="00DA1BEC" w:rsidRPr="001763AE">
              <w:rPr>
                <w:rFonts w:cs="Times New Roman"/>
                <w:sz w:val="18"/>
                <w:szCs w:val="18"/>
              </w:rPr>
              <w:t>$</w:t>
            </w:r>
            <w:r w:rsidRPr="001763AE">
              <w:rPr>
                <w:rFonts w:cs="Times New Roman"/>
                <w:sz w:val="18"/>
                <w:szCs w:val="18"/>
              </w:rPr>
              <w:t>10,280,903</w:t>
            </w:r>
          </w:p>
          <w:p w:rsidR="00630A5C" w:rsidRPr="001763AE" w:rsidRDefault="00630A5C" w:rsidP="0043572D">
            <w:pPr>
              <w:spacing w:line="228" w:lineRule="auto"/>
              <w:rPr>
                <w:rFonts w:cs="Times New Roman"/>
                <w:sz w:val="18"/>
                <w:szCs w:val="18"/>
              </w:rPr>
            </w:pPr>
            <w:r w:rsidRPr="001763AE">
              <w:rPr>
                <w:rFonts w:cs="Times New Roman"/>
                <w:b/>
                <w:sz w:val="18"/>
                <w:szCs w:val="18"/>
              </w:rPr>
              <w:t>2010</w:t>
            </w:r>
            <w:r w:rsidR="00E06B43" w:rsidRPr="001763AE">
              <w:rPr>
                <w:rFonts w:cs="Times New Roman"/>
                <w:b/>
                <w:sz w:val="18"/>
                <w:szCs w:val="18"/>
              </w:rPr>
              <w:t>:</w:t>
            </w:r>
            <w:r w:rsidRPr="001763AE">
              <w:rPr>
                <w:rFonts w:cs="Times New Roman"/>
                <w:sz w:val="18"/>
                <w:szCs w:val="18"/>
              </w:rPr>
              <w:t>$5,477,978/$12,537,502</w:t>
            </w:r>
          </w:p>
          <w:p w:rsidR="00630A5C" w:rsidRPr="001763AE" w:rsidRDefault="00630A5C" w:rsidP="0043572D">
            <w:pPr>
              <w:spacing w:line="228" w:lineRule="auto"/>
              <w:rPr>
                <w:rFonts w:cs="Times New Roman"/>
                <w:sz w:val="18"/>
                <w:szCs w:val="18"/>
              </w:rPr>
            </w:pPr>
            <w:r w:rsidRPr="001763AE">
              <w:rPr>
                <w:rFonts w:cs="Times New Roman"/>
                <w:b/>
                <w:sz w:val="18"/>
                <w:szCs w:val="18"/>
              </w:rPr>
              <w:t>2011</w:t>
            </w:r>
            <w:r w:rsidR="00E06B43" w:rsidRPr="001763AE">
              <w:rPr>
                <w:rFonts w:cs="Times New Roman"/>
                <w:b/>
                <w:sz w:val="18"/>
                <w:szCs w:val="18"/>
              </w:rPr>
              <w:t xml:space="preserve">: </w:t>
            </w:r>
            <w:r w:rsidRPr="001763AE">
              <w:rPr>
                <w:rFonts w:cs="Times New Roman"/>
                <w:sz w:val="18"/>
                <w:szCs w:val="18"/>
              </w:rPr>
              <w:t>$6,334,474/$13,156,256</w:t>
            </w:r>
          </w:p>
          <w:p w:rsidR="00630A5C" w:rsidRPr="001763AE" w:rsidRDefault="00630A5C" w:rsidP="0043572D">
            <w:pPr>
              <w:spacing w:line="228" w:lineRule="auto"/>
              <w:rPr>
                <w:rFonts w:cs="Times New Roman"/>
                <w:sz w:val="18"/>
                <w:szCs w:val="18"/>
              </w:rPr>
            </w:pPr>
            <w:r w:rsidRPr="001763AE">
              <w:rPr>
                <w:rFonts w:cs="Times New Roman"/>
                <w:b/>
                <w:sz w:val="18"/>
                <w:szCs w:val="18"/>
              </w:rPr>
              <w:t>2012</w:t>
            </w:r>
            <w:r w:rsidR="00E06B43" w:rsidRPr="001763AE">
              <w:rPr>
                <w:rFonts w:cs="Times New Roman"/>
                <w:b/>
                <w:sz w:val="18"/>
                <w:szCs w:val="18"/>
              </w:rPr>
              <w:t xml:space="preserve">: </w:t>
            </w:r>
            <w:r w:rsidRPr="001763AE">
              <w:rPr>
                <w:rFonts w:cs="Times New Roman"/>
                <w:sz w:val="18"/>
                <w:szCs w:val="18"/>
              </w:rPr>
              <w:t>$6,260,273/$13,082,055</w:t>
            </w:r>
          </w:p>
          <w:p w:rsidR="00630A5C" w:rsidRPr="001763AE" w:rsidRDefault="00630A5C" w:rsidP="0043572D">
            <w:pPr>
              <w:spacing w:line="228" w:lineRule="auto"/>
              <w:rPr>
                <w:rFonts w:cs="Times New Roman"/>
                <w:sz w:val="18"/>
                <w:szCs w:val="18"/>
              </w:rPr>
            </w:pPr>
            <w:r w:rsidRPr="001763AE">
              <w:rPr>
                <w:rFonts w:cs="Times New Roman"/>
                <w:b/>
                <w:sz w:val="18"/>
                <w:szCs w:val="18"/>
              </w:rPr>
              <w:t>2013</w:t>
            </w:r>
            <w:r w:rsidRPr="001763AE">
              <w:rPr>
                <w:rFonts w:cs="Times New Roman"/>
                <w:sz w:val="18"/>
                <w:szCs w:val="18"/>
              </w:rPr>
              <w:t>: $5,444,002/$12,265,784</w:t>
            </w:r>
          </w:p>
          <w:p w:rsidR="00630A5C" w:rsidRPr="001763AE" w:rsidRDefault="00630A5C" w:rsidP="00AB1877">
            <w:pPr>
              <w:spacing w:line="228" w:lineRule="auto"/>
              <w:rPr>
                <w:rFonts w:cs="Times New Roman"/>
                <w:sz w:val="18"/>
                <w:szCs w:val="18"/>
              </w:rPr>
            </w:pPr>
            <w:r w:rsidRPr="001763AE">
              <w:rPr>
                <w:rFonts w:cs="Times New Roman"/>
                <w:sz w:val="18"/>
                <w:szCs w:val="18"/>
              </w:rPr>
              <w:t xml:space="preserve">Short </w:t>
            </w:r>
            <w:r w:rsidR="00AB1877" w:rsidRPr="001763AE">
              <w:rPr>
                <w:rFonts w:cs="Times New Roman"/>
                <w:sz w:val="18"/>
                <w:szCs w:val="18"/>
              </w:rPr>
              <w:t>–medium term</w:t>
            </w:r>
            <w:r w:rsidRPr="001763AE">
              <w:rPr>
                <w:rFonts w:cs="Times New Roman"/>
                <w:sz w:val="18"/>
                <w:szCs w:val="18"/>
              </w:rPr>
              <w:t xml:space="preserve"> funding gap</w:t>
            </w:r>
            <w:r w:rsidR="00E06B43" w:rsidRPr="001763AE">
              <w:rPr>
                <w:rFonts w:cs="Times New Roman"/>
                <w:sz w:val="18"/>
                <w:szCs w:val="18"/>
              </w:rPr>
              <w:t xml:space="preserve"> potentially </w:t>
            </w:r>
            <w:r w:rsidRPr="001763AE">
              <w:rPr>
                <w:rFonts w:cs="Times New Roman"/>
                <w:sz w:val="18"/>
                <w:szCs w:val="18"/>
              </w:rPr>
              <w:t>reduced due to mobilisation of EC support</w:t>
            </w:r>
            <w:r w:rsidR="00427F20" w:rsidRPr="001763AE">
              <w:rPr>
                <w:rFonts w:cs="Times New Roman"/>
                <w:sz w:val="18"/>
                <w:szCs w:val="18"/>
              </w:rPr>
              <w:t xml:space="preserve">. </w:t>
            </w:r>
          </w:p>
        </w:tc>
        <w:tc>
          <w:tcPr>
            <w:tcW w:w="525" w:type="pct"/>
            <w:vAlign w:val="center"/>
          </w:tcPr>
          <w:p w:rsidR="00630A5C" w:rsidRPr="001763AE" w:rsidRDefault="00630A5C" w:rsidP="00790AD4">
            <w:pPr>
              <w:spacing w:line="228" w:lineRule="auto"/>
              <w:jc w:val="center"/>
              <w:rPr>
                <w:rFonts w:cs="Times New Roman"/>
                <w:b/>
                <w:sz w:val="18"/>
                <w:szCs w:val="18"/>
              </w:rPr>
            </w:pPr>
            <w:r w:rsidRPr="001763AE">
              <w:rPr>
                <w:rFonts w:cs="Times New Roman"/>
                <w:b/>
                <w:sz w:val="18"/>
                <w:szCs w:val="18"/>
              </w:rPr>
              <w:t>M</w:t>
            </w:r>
            <w:r w:rsidR="00790AD4" w:rsidRPr="001763AE">
              <w:rPr>
                <w:rFonts w:cs="Times New Roman"/>
                <w:b/>
                <w:sz w:val="18"/>
                <w:szCs w:val="18"/>
              </w:rPr>
              <w:t>S</w:t>
            </w:r>
          </w:p>
        </w:tc>
        <w:tc>
          <w:tcPr>
            <w:tcW w:w="447" w:type="pct"/>
            <w:vMerge w:val="restart"/>
            <w:vAlign w:val="center"/>
          </w:tcPr>
          <w:p w:rsidR="00630A5C" w:rsidRPr="001763AE" w:rsidRDefault="00701E65" w:rsidP="0043572D">
            <w:pPr>
              <w:spacing w:line="228" w:lineRule="auto"/>
              <w:jc w:val="center"/>
              <w:rPr>
                <w:rFonts w:cs="Times New Roman"/>
                <w:b/>
                <w:sz w:val="18"/>
                <w:szCs w:val="18"/>
              </w:rPr>
            </w:pPr>
            <w:r w:rsidRPr="001763AE">
              <w:rPr>
                <w:rFonts w:cs="Times New Roman"/>
                <w:b/>
                <w:sz w:val="18"/>
                <w:szCs w:val="18"/>
              </w:rPr>
              <w:t>M</w:t>
            </w:r>
            <w:r w:rsidR="00790AD4" w:rsidRPr="001763AE">
              <w:rPr>
                <w:rFonts w:cs="Times New Roman"/>
                <w:b/>
                <w:sz w:val="18"/>
                <w:szCs w:val="18"/>
              </w:rPr>
              <w:t>S</w:t>
            </w:r>
          </w:p>
        </w:tc>
      </w:tr>
      <w:tr w:rsidR="007C63A9" w:rsidRPr="001763AE" w:rsidTr="007C63A9">
        <w:tc>
          <w:tcPr>
            <w:tcW w:w="916" w:type="pct"/>
            <w:vMerge/>
          </w:tcPr>
          <w:p w:rsidR="00630A5C" w:rsidRPr="001763AE" w:rsidRDefault="00630A5C" w:rsidP="0043572D">
            <w:pPr>
              <w:spacing w:line="228" w:lineRule="auto"/>
              <w:rPr>
                <w:sz w:val="18"/>
                <w:szCs w:val="18"/>
              </w:rPr>
            </w:pPr>
          </w:p>
        </w:tc>
        <w:tc>
          <w:tcPr>
            <w:tcW w:w="788" w:type="pct"/>
          </w:tcPr>
          <w:p w:rsidR="00630A5C" w:rsidRPr="001763AE" w:rsidRDefault="00630A5C" w:rsidP="0043572D">
            <w:pPr>
              <w:widowControl w:val="0"/>
              <w:autoSpaceDE w:val="0"/>
              <w:autoSpaceDN w:val="0"/>
              <w:adjustRightInd w:val="0"/>
              <w:spacing w:line="228" w:lineRule="auto"/>
              <w:rPr>
                <w:sz w:val="18"/>
                <w:szCs w:val="18"/>
              </w:rPr>
            </w:pPr>
            <w:r w:rsidRPr="001763AE">
              <w:rPr>
                <w:sz w:val="18"/>
                <w:szCs w:val="18"/>
              </w:rPr>
              <w:t>Amount of allocations from Ministry of Environment for Carpathian PAs</w:t>
            </w:r>
            <w:r w:rsidR="00BE4C28">
              <w:rPr>
                <w:sz w:val="18"/>
                <w:szCs w:val="18"/>
              </w:rPr>
              <w:t>.</w:t>
            </w:r>
          </w:p>
        </w:tc>
        <w:tc>
          <w:tcPr>
            <w:tcW w:w="497" w:type="pct"/>
          </w:tcPr>
          <w:p w:rsidR="00630A5C" w:rsidRPr="001763AE" w:rsidRDefault="00630A5C" w:rsidP="0043572D">
            <w:pPr>
              <w:spacing w:line="228" w:lineRule="auto"/>
              <w:rPr>
                <w:rFonts w:cs="Times New Roman"/>
                <w:sz w:val="18"/>
                <w:szCs w:val="18"/>
              </w:rPr>
            </w:pPr>
            <w:r w:rsidRPr="001763AE">
              <w:rPr>
                <w:rFonts w:cs="Times New Roman"/>
                <w:sz w:val="18"/>
                <w:szCs w:val="18"/>
              </w:rPr>
              <w:t>0</w:t>
            </w:r>
          </w:p>
        </w:tc>
        <w:tc>
          <w:tcPr>
            <w:tcW w:w="535" w:type="pct"/>
          </w:tcPr>
          <w:p w:rsidR="00630A5C" w:rsidRPr="001763AE" w:rsidRDefault="00630A5C" w:rsidP="0043572D">
            <w:pPr>
              <w:spacing w:line="228" w:lineRule="auto"/>
              <w:rPr>
                <w:rFonts w:cs="Times New Roman"/>
                <w:sz w:val="18"/>
                <w:szCs w:val="18"/>
              </w:rPr>
            </w:pPr>
            <w:r w:rsidRPr="001763AE">
              <w:rPr>
                <w:rFonts w:cs="Times New Roman"/>
                <w:sz w:val="18"/>
                <w:szCs w:val="18"/>
              </w:rPr>
              <w:t xml:space="preserve">By </w:t>
            </w:r>
            <w:r w:rsidR="00E2271C" w:rsidRPr="001763AE">
              <w:rPr>
                <w:rFonts w:cs="Times New Roman"/>
                <w:sz w:val="18"/>
                <w:szCs w:val="18"/>
              </w:rPr>
              <w:t>Dec. 2013</w:t>
            </w:r>
            <w:r w:rsidRPr="001763AE">
              <w:rPr>
                <w:rFonts w:cs="Times New Roman"/>
                <w:sz w:val="18"/>
                <w:szCs w:val="18"/>
              </w:rPr>
              <w:t xml:space="preserve">, central budget allocation </w:t>
            </w:r>
            <w:r w:rsidR="00E06B43" w:rsidRPr="001763AE">
              <w:rPr>
                <w:rFonts w:cs="Times New Roman"/>
                <w:sz w:val="18"/>
                <w:szCs w:val="18"/>
              </w:rPr>
              <w:t>of</w:t>
            </w:r>
            <w:r w:rsidRPr="001763AE">
              <w:rPr>
                <w:rFonts w:cs="Times New Roman"/>
                <w:sz w:val="18"/>
                <w:szCs w:val="18"/>
              </w:rPr>
              <w:t xml:space="preserve">&gt; </w:t>
            </w:r>
            <w:r w:rsidR="00E06B43" w:rsidRPr="001763AE">
              <w:rPr>
                <w:rFonts w:cs="Times New Roman"/>
                <w:sz w:val="18"/>
                <w:szCs w:val="18"/>
              </w:rPr>
              <w:t>$</w:t>
            </w:r>
            <w:r w:rsidR="00BE4C28">
              <w:rPr>
                <w:rFonts w:cs="Times New Roman"/>
                <w:sz w:val="18"/>
                <w:szCs w:val="18"/>
              </w:rPr>
              <w:t>1 million.</w:t>
            </w:r>
          </w:p>
        </w:tc>
        <w:tc>
          <w:tcPr>
            <w:tcW w:w="1291" w:type="pct"/>
          </w:tcPr>
          <w:p w:rsidR="00427F20" w:rsidRPr="001763AE" w:rsidRDefault="00630A5C" w:rsidP="0043572D">
            <w:pPr>
              <w:spacing w:line="228" w:lineRule="auto"/>
              <w:rPr>
                <w:rFonts w:cs="Times New Roman"/>
                <w:sz w:val="18"/>
                <w:szCs w:val="18"/>
              </w:rPr>
            </w:pPr>
            <w:r w:rsidRPr="001763AE">
              <w:rPr>
                <w:rFonts w:cs="Times New Roman"/>
                <w:sz w:val="18"/>
                <w:szCs w:val="18"/>
              </w:rPr>
              <w:t>No permanent</w:t>
            </w:r>
            <w:r w:rsidR="006E16CE" w:rsidRPr="001763AE">
              <w:rPr>
                <w:rFonts w:cs="Times New Roman"/>
                <w:sz w:val="18"/>
                <w:szCs w:val="18"/>
              </w:rPr>
              <w:t xml:space="preserve"> </w:t>
            </w:r>
            <w:r w:rsidRPr="001763AE">
              <w:rPr>
                <w:rFonts w:cs="Times New Roman"/>
                <w:sz w:val="18"/>
                <w:szCs w:val="18"/>
              </w:rPr>
              <w:t xml:space="preserve">commitment to </w:t>
            </w:r>
            <w:r w:rsidR="00E06B43" w:rsidRPr="001763AE">
              <w:rPr>
                <w:rFonts w:cs="Times New Roman"/>
                <w:sz w:val="18"/>
                <w:szCs w:val="18"/>
              </w:rPr>
              <w:t>central budget allocation</w:t>
            </w:r>
            <w:r w:rsidR="00427F20" w:rsidRPr="001763AE">
              <w:rPr>
                <w:rFonts w:cs="Times New Roman"/>
                <w:sz w:val="18"/>
                <w:szCs w:val="18"/>
              </w:rPr>
              <w:t>.</w:t>
            </w:r>
          </w:p>
          <w:p w:rsidR="00F757CE" w:rsidRPr="001763AE" w:rsidRDefault="00630A5C" w:rsidP="0043572D">
            <w:pPr>
              <w:spacing w:line="228" w:lineRule="auto"/>
              <w:rPr>
                <w:rFonts w:cs="Times New Roman"/>
                <w:sz w:val="18"/>
                <w:szCs w:val="18"/>
              </w:rPr>
            </w:pPr>
            <w:r w:rsidRPr="001763AE">
              <w:rPr>
                <w:rFonts w:cs="Times New Roman"/>
                <w:sz w:val="18"/>
                <w:szCs w:val="18"/>
              </w:rPr>
              <w:t xml:space="preserve">Co-financing </w:t>
            </w:r>
            <w:r w:rsidR="00B9142A" w:rsidRPr="001763AE">
              <w:rPr>
                <w:rFonts w:cs="Times New Roman"/>
                <w:sz w:val="18"/>
                <w:szCs w:val="18"/>
              </w:rPr>
              <w:t xml:space="preserve">and VAT support </w:t>
            </w:r>
            <w:r w:rsidRPr="001763AE">
              <w:rPr>
                <w:rFonts w:cs="Times New Roman"/>
                <w:sz w:val="18"/>
                <w:szCs w:val="18"/>
              </w:rPr>
              <w:t xml:space="preserve">provided </w:t>
            </w:r>
            <w:r w:rsidR="00B9142A" w:rsidRPr="001763AE">
              <w:rPr>
                <w:rFonts w:cs="Times New Roman"/>
                <w:sz w:val="18"/>
                <w:szCs w:val="18"/>
              </w:rPr>
              <w:t xml:space="preserve">by MoECC </w:t>
            </w:r>
            <w:r w:rsidRPr="001763AE">
              <w:rPr>
                <w:rFonts w:cs="Times New Roman"/>
                <w:sz w:val="18"/>
                <w:szCs w:val="18"/>
              </w:rPr>
              <w:t>for EU funded projects</w:t>
            </w:r>
            <w:r w:rsidR="00B9142A" w:rsidRPr="001763AE">
              <w:rPr>
                <w:rFonts w:cs="Times New Roman"/>
                <w:sz w:val="18"/>
                <w:szCs w:val="18"/>
              </w:rPr>
              <w:t xml:space="preserve"> totalling ca </w:t>
            </w:r>
            <w:r w:rsidRPr="001763AE">
              <w:rPr>
                <w:rFonts w:cs="Times New Roman"/>
                <w:sz w:val="18"/>
                <w:szCs w:val="18"/>
              </w:rPr>
              <w:t>US$4</w:t>
            </w:r>
            <w:r w:rsidR="006C3433" w:rsidRPr="001763AE">
              <w:rPr>
                <w:rFonts w:cs="Times New Roman"/>
                <w:sz w:val="18"/>
                <w:szCs w:val="18"/>
              </w:rPr>
              <w:t>.5</w:t>
            </w:r>
            <w:r w:rsidRPr="001763AE">
              <w:rPr>
                <w:rFonts w:cs="Times New Roman"/>
                <w:sz w:val="18"/>
                <w:szCs w:val="18"/>
              </w:rPr>
              <w:t xml:space="preserve"> million in </w:t>
            </w:r>
            <w:r w:rsidR="00B9142A" w:rsidRPr="001763AE">
              <w:rPr>
                <w:rFonts w:cs="Times New Roman"/>
                <w:sz w:val="18"/>
                <w:szCs w:val="18"/>
              </w:rPr>
              <w:t>2010-2014</w:t>
            </w:r>
            <w:r w:rsidR="00AD6D99">
              <w:rPr>
                <w:rFonts w:cs="Times New Roman"/>
                <w:sz w:val="18"/>
                <w:szCs w:val="18"/>
              </w:rPr>
              <w:t>.</w:t>
            </w:r>
            <w:r w:rsidR="00790AD4" w:rsidRPr="001763AE">
              <w:rPr>
                <w:rFonts w:cs="Times New Roman"/>
                <w:sz w:val="18"/>
                <w:szCs w:val="18"/>
              </w:rPr>
              <w:t xml:space="preserve"> </w:t>
            </w:r>
          </w:p>
        </w:tc>
        <w:tc>
          <w:tcPr>
            <w:tcW w:w="525" w:type="pct"/>
            <w:vAlign w:val="center"/>
          </w:tcPr>
          <w:p w:rsidR="00630A5C" w:rsidRPr="001763AE" w:rsidRDefault="00790AD4" w:rsidP="0043572D">
            <w:pPr>
              <w:spacing w:line="228" w:lineRule="auto"/>
              <w:jc w:val="center"/>
              <w:rPr>
                <w:rFonts w:cs="Times New Roman"/>
                <w:b/>
                <w:sz w:val="18"/>
                <w:szCs w:val="18"/>
              </w:rPr>
            </w:pPr>
            <w:r w:rsidRPr="001763AE">
              <w:rPr>
                <w:rFonts w:cs="Times New Roman"/>
                <w:b/>
                <w:sz w:val="18"/>
                <w:szCs w:val="18"/>
              </w:rPr>
              <w:t>S</w:t>
            </w:r>
          </w:p>
        </w:tc>
        <w:tc>
          <w:tcPr>
            <w:tcW w:w="447" w:type="pct"/>
            <w:vMerge/>
            <w:vAlign w:val="center"/>
          </w:tcPr>
          <w:p w:rsidR="00630A5C" w:rsidRPr="001763AE" w:rsidRDefault="00630A5C" w:rsidP="0043572D">
            <w:pPr>
              <w:spacing w:line="228" w:lineRule="auto"/>
              <w:jc w:val="center"/>
              <w:rPr>
                <w:rFonts w:cs="Times New Roman"/>
                <w:b/>
                <w:sz w:val="18"/>
                <w:szCs w:val="18"/>
              </w:rPr>
            </w:pPr>
          </w:p>
        </w:tc>
      </w:tr>
      <w:tr w:rsidR="007C63A9" w:rsidRPr="001763AE" w:rsidTr="007C63A9">
        <w:tc>
          <w:tcPr>
            <w:tcW w:w="916" w:type="pct"/>
            <w:vMerge/>
          </w:tcPr>
          <w:p w:rsidR="00B8799E" w:rsidRPr="001763AE" w:rsidRDefault="00B8799E" w:rsidP="0043572D">
            <w:pPr>
              <w:widowControl w:val="0"/>
              <w:autoSpaceDE w:val="0"/>
              <w:autoSpaceDN w:val="0"/>
              <w:adjustRightInd w:val="0"/>
              <w:spacing w:line="228" w:lineRule="auto"/>
              <w:rPr>
                <w:sz w:val="18"/>
                <w:szCs w:val="18"/>
              </w:rPr>
            </w:pPr>
          </w:p>
        </w:tc>
        <w:tc>
          <w:tcPr>
            <w:tcW w:w="788" w:type="pct"/>
          </w:tcPr>
          <w:p w:rsidR="00B8799E" w:rsidRPr="001763AE" w:rsidRDefault="00B8799E" w:rsidP="0043572D">
            <w:pPr>
              <w:widowControl w:val="0"/>
              <w:autoSpaceDE w:val="0"/>
              <w:autoSpaceDN w:val="0"/>
              <w:adjustRightInd w:val="0"/>
              <w:spacing w:line="228" w:lineRule="auto"/>
              <w:rPr>
                <w:sz w:val="18"/>
                <w:szCs w:val="18"/>
              </w:rPr>
            </w:pPr>
            <w:r w:rsidRPr="001763AE">
              <w:rPr>
                <w:sz w:val="18"/>
                <w:szCs w:val="18"/>
              </w:rPr>
              <w:t>Number and level of central budget transfers</w:t>
            </w:r>
            <w:r w:rsidR="00427F20" w:rsidRPr="001763AE">
              <w:rPr>
                <w:sz w:val="18"/>
                <w:szCs w:val="18"/>
              </w:rPr>
              <w:t xml:space="preserve">. </w:t>
            </w:r>
          </w:p>
        </w:tc>
        <w:tc>
          <w:tcPr>
            <w:tcW w:w="497" w:type="pct"/>
          </w:tcPr>
          <w:p w:rsidR="00B8799E" w:rsidRPr="001763AE" w:rsidRDefault="00B8799E" w:rsidP="0043572D">
            <w:pPr>
              <w:spacing w:line="228" w:lineRule="auto"/>
              <w:rPr>
                <w:rFonts w:cs="Times New Roman"/>
                <w:sz w:val="18"/>
                <w:szCs w:val="18"/>
              </w:rPr>
            </w:pPr>
            <w:r w:rsidRPr="001763AE">
              <w:rPr>
                <w:rFonts w:cs="Times New Roman"/>
                <w:sz w:val="18"/>
                <w:szCs w:val="18"/>
              </w:rPr>
              <w:t>None</w:t>
            </w:r>
          </w:p>
        </w:tc>
        <w:tc>
          <w:tcPr>
            <w:tcW w:w="535" w:type="pct"/>
          </w:tcPr>
          <w:p w:rsidR="00B8799E" w:rsidRPr="001763AE" w:rsidRDefault="00B8799E" w:rsidP="0043572D">
            <w:pPr>
              <w:spacing w:line="228" w:lineRule="auto"/>
              <w:rPr>
                <w:rFonts w:cs="Times New Roman"/>
                <w:sz w:val="18"/>
                <w:szCs w:val="18"/>
              </w:rPr>
            </w:pPr>
            <w:r w:rsidRPr="001763AE">
              <w:rPr>
                <w:rFonts w:cs="Times New Roman"/>
                <w:sz w:val="18"/>
                <w:szCs w:val="18"/>
              </w:rPr>
              <w:t xml:space="preserve">Twice a year by </w:t>
            </w:r>
            <w:r w:rsidR="00BE4C28">
              <w:rPr>
                <w:rFonts w:cs="Times New Roman"/>
                <w:sz w:val="18"/>
                <w:szCs w:val="18"/>
              </w:rPr>
              <w:t>Dec. 2011.</w:t>
            </w:r>
          </w:p>
        </w:tc>
        <w:tc>
          <w:tcPr>
            <w:tcW w:w="1291" w:type="pct"/>
          </w:tcPr>
          <w:p w:rsidR="00B8799E" w:rsidRPr="001763AE" w:rsidRDefault="00B8799E" w:rsidP="00AD6D99">
            <w:pPr>
              <w:spacing w:line="228" w:lineRule="auto"/>
              <w:rPr>
                <w:rFonts w:cs="Times New Roman"/>
                <w:sz w:val="18"/>
                <w:szCs w:val="18"/>
              </w:rPr>
            </w:pPr>
            <w:r w:rsidRPr="001763AE">
              <w:rPr>
                <w:rFonts w:cs="Times New Roman"/>
                <w:sz w:val="18"/>
                <w:szCs w:val="18"/>
              </w:rPr>
              <w:t>No approval or transfers</w:t>
            </w:r>
            <w:r w:rsidR="00AD6D99">
              <w:rPr>
                <w:rFonts w:cs="Times New Roman"/>
                <w:sz w:val="18"/>
                <w:szCs w:val="18"/>
              </w:rPr>
              <w:t xml:space="preserve"> as envisaged</w:t>
            </w:r>
            <w:r w:rsidR="00427F20" w:rsidRPr="001763AE">
              <w:rPr>
                <w:rFonts w:cs="Times New Roman"/>
                <w:sz w:val="18"/>
                <w:szCs w:val="18"/>
              </w:rPr>
              <w:t xml:space="preserve">. </w:t>
            </w:r>
            <w:r w:rsidRPr="001763AE">
              <w:rPr>
                <w:rFonts w:cs="Times New Roman"/>
                <w:sz w:val="18"/>
                <w:szCs w:val="18"/>
              </w:rPr>
              <w:t xml:space="preserve">Co-financing and VAT support </w:t>
            </w:r>
            <w:r w:rsidR="00AD6D99">
              <w:rPr>
                <w:rFonts w:cs="Times New Roman"/>
                <w:sz w:val="18"/>
                <w:szCs w:val="18"/>
              </w:rPr>
              <w:t xml:space="preserve">has been </w:t>
            </w:r>
            <w:r w:rsidR="0043572D" w:rsidRPr="001763AE">
              <w:rPr>
                <w:rFonts w:cs="Times New Roman"/>
                <w:sz w:val="18"/>
                <w:szCs w:val="18"/>
              </w:rPr>
              <w:t xml:space="preserve">provided </w:t>
            </w:r>
            <w:r w:rsidR="00AD6D99">
              <w:rPr>
                <w:rFonts w:cs="Times New Roman"/>
                <w:sz w:val="18"/>
                <w:szCs w:val="18"/>
              </w:rPr>
              <w:t xml:space="preserve">by the MoECC </w:t>
            </w:r>
            <w:r w:rsidR="0043572D" w:rsidRPr="001763AE">
              <w:rPr>
                <w:rFonts w:cs="Times New Roman"/>
                <w:sz w:val="18"/>
                <w:szCs w:val="18"/>
              </w:rPr>
              <w:t xml:space="preserve">for EU </w:t>
            </w:r>
            <w:r w:rsidR="00AD6D99">
              <w:rPr>
                <w:rFonts w:cs="Times New Roman"/>
                <w:sz w:val="18"/>
                <w:szCs w:val="18"/>
              </w:rPr>
              <w:t xml:space="preserve">SOP </w:t>
            </w:r>
            <w:r w:rsidRPr="001763AE">
              <w:rPr>
                <w:rFonts w:cs="Times New Roman"/>
                <w:sz w:val="18"/>
                <w:szCs w:val="18"/>
              </w:rPr>
              <w:t>projects</w:t>
            </w:r>
            <w:r w:rsidR="00AD6D99">
              <w:rPr>
                <w:rFonts w:cs="Times New Roman"/>
                <w:sz w:val="18"/>
                <w:szCs w:val="18"/>
              </w:rPr>
              <w:t xml:space="preserve">. </w:t>
            </w:r>
          </w:p>
        </w:tc>
        <w:tc>
          <w:tcPr>
            <w:tcW w:w="525" w:type="pct"/>
            <w:vAlign w:val="center"/>
          </w:tcPr>
          <w:p w:rsidR="00B8799E" w:rsidRPr="001763AE" w:rsidRDefault="00790AD4" w:rsidP="0043572D">
            <w:pPr>
              <w:spacing w:line="228" w:lineRule="auto"/>
              <w:jc w:val="center"/>
              <w:rPr>
                <w:rFonts w:cs="Times New Roman"/>
                <w:b/>
                <w:sz w:val="18"/>
                <w:szCs w:val="18"/>
              </w:rPr>
            </w:pPr>
            <w:r w:rsidRPr="001763AE">
              <w:rPr>
                <w:rFonts w:cs="Times New Roman"/>
                <w:b/>
                <w:sz w:val="18"/>
                <w:szCs w:val="18"/>
              </w:rPr>
              <w:t>MS</w:t>
            </w:r>
          </w:p>
        </w:tc>
        <w:tc>
          <w:tcPr>
            <w:tcW w:w="447" w:type="pct"/>
            <w:vMerge/>
          </w:tcPr>
          <w:p w:rsidR="00B8799E" w:rsidRPr="001763AE" w:rsidRDefault="00B8799E" w:rsidP="0043572D">
            <w:pPr>
              <w:spacing w:line="228" w:lineRule="auto"/>
              <w:jc w:val="center"/>
              <w:rPr>
                <w:rFonts w:cs="Times New Roman"/>
                <w:b/>
                <w:sz w:val="18"/>
                <w:szCs w:val="18"/>
              </w:rPr>
            </w:pPr>
          </w:p>
        </w:tc>
      </w:tr>
      <w:tr w:rsidR="007C63A9" w:rsidRPr="001763AE" w:rsidTr="007C63A9">
        <w:tc>
          <w:tcPr>
            <w:tcW w:w="916" w:type="pct"/>
            <w:vMerge/>
          </w:tcPr>
          <w:p w:rsidR="00B8799E" w:rsidRPr="001763AE" w:rsidRDefault="00B8799E" w:rsidP="0043572D">
            <w:pPr>
              <w:widowControl w:val="0"/>
              <w:autoSpaceDE w:val="0"/>
              <w:autoSpaceDN w:val="0"/>
              <w:adjustRightInd w:val="0"/>
              <w:spacing w:line="228" w:lineRule="auto"/>
              <w:rPr>
                <w:sz w:val="18"/>
                <w:szCs w:val="18"/>
              </w:rPr>
            </w:pPr>
          </w:p>
        </w:tc>
        <w:tc>
          <w:tcPr>
            <w:tcW w:w="788" w:type="pct"/>
          </w:tcPr>
          <w:p w:rsidR="00B8799E" w:rsidRPr="001763AE" w:rsidRDefault="00B8799E" w:rsidP="0043572D">
            <w:pPr>
              <w:widowControl w:val="0"/>
              <w:autoSpaceDE w:val="0"/>
              <w:autoSpaceDN w:val="0"/>
              <w:adjustRightInd w:val="0"/>
              <w:spacing w:line="228" w:lineRule="auto"/>
              <w:rPr>
                <w:sz w:val="18"/>
                <w:szCs w:val="18"/>
              </w:rPr>
            </w:pPr>
            <w:r w:rsidRPr="001763AE">
              <w:rPr>
                <w:sz w:val="18"/>
                <w:szCs w:val="18"/>
              </w:rPr>
              <w:t>Compensation payments to forest users</w:t>
            </w:r>
            <w:r w:rsidR="00BE4C28">
              <w:rPr>
                <w:sz w:val="18"/>
                <w:szCs w:val="18"/>
              </w:rPr>
              <w:t>.</w:t>
            </w:r>
          </w:p>
        </w:tc>
        <w:tc>
          <w:tcPr>
            <w:tcW w:w="497" w:type="pct"/>
          </w:tcPr>
          <w:p w:rsidR="00B8799E" w:rsidRPr="001763AE" w:rsidRDefault="00B8799E" w:rsidP="0043572D">
            <w:pPr>
              <w:spacing w:line="228" w:lineRule="auto"/>
              <w:rPr>
                <w:rFonts w:cs="Times New Roman"/>
                <w:sz w:val="18"/>
                <w:szCs w:val="18"/>
              </w:rPr>
            </w:pPr>
            <w:r w:rsidRPr="001763AE">
              <w:rPr>
                <w:rFonts w:cs="Times New Roman"/>
                <w:sz w:val="18"/>
                <w:szCs w:val="18"/>
              </w:rPr>
              <w:t>App</w:t>
            </w:r>
            <w:r w:rsidR="006C3433" w:rsidRPr="001763AE">
              <w:rPr>
                <w:rFonts w:cs="Times New Roman"/>
                <w:sz w:val="18"/>
                <w:szCs w:val="18"/>
              </w:rPr>
              <w:t>.3</w:t>
            </w:r>
            <w:r w:rsidRPr="001763AE">
              <w:rPr>
                <w:rFonts w:cs="Times New Roman"/>
                <w:sz w:val="18"/>
                <w:szCs w:val="18"/>
              </w:rPr>
              <w:t>0%</w:t>
            </w:r>
          </w:p>
        </w:tc>
        <w:tc>
          <w:tcPr>
            <w:tcW w:w="535" w:type="pct"/>
          </w:tcPr>
          <w:p w:rsidR="00B8799E" w:rsidRPr="001763AE" w:rsidRDefault="00B8799E" w:rsidP="0043572D">
            <w:pPr>
              <w:spacing w:line="228" w:lineRule="auto"/>
              <w:rPr>
                <w:rFonts w:cs="Times New Roman"/>
                <w:sz w:val="18"/>
                <w:szCs w:val="18"/>
              </w:rPr>
            </w:pPr>
            <w:r w:rsidRPr="001763AE">
              <w:rPr>
                <w:rFonts w:cs="Times New Roman"/>
                <w:sz w:val="18"/>
                <w:szCs w:val="18"/>
              </w:rPr>
              <w:t>40% (</w:t>
            </w:r>
            <w:r w:rsidR="00E2271C" w:rsidRPr="001763AE">
              <w:rPr>
                <w:rFonts w:cs="Times New Roman"/>
                <w:sz w:val="18"/>
                <w:szCs w:val="18"/>
              </w:rPr>
              <w:t>Dec. 2013</w:t>
            </w:r>
            <w:r w:rsidRPr="001763AE">
              <w:rPr>
                <w:rFonts w:cs="Times New Roman"/>
                <w:sz w:val="18"/>
                <w:szCs w:val="18"/>
              </w:rPr>
              <w:t>)</w:t>
            </w:r>
          </w:p>
        </w:tc>
        <w:tc>
          <w:tcPr>
            <w:tcW w:w="1291" w:type="pct"/>
          </w:tcPr>
          <w:p w:rsidR="00B8799E" w:rsidRPr="001763AE" w:rsidRDefault="00B8799E" w:rsidP="00AD6D99">
            <w:pPr>
              <w:spacing w:line="228" w:lineRule="auto"/>
              <w:rPr>
                <w:rFonts w:cs="Times New Roman"/>
                <w:sz w:val="18"/>
                <w:szCs w:val="18"/>
              </w:rPr>
            </w:pPr>
            <w:r w:rsidRPr="001763AE">
              <w:rPr>
                <w:rFonts w:cs="Times New Roman"/>
                <w:sz w:val="18"/>
                <w:szCs w:val="18"/>
              </w:rPr>
              <w:t>None</w:t>
            </w:r>
            <w:r w:rsidR="00AD6D99">
              <w:rPr>
                <w:rFonts w:cs="Times New Roman"/>
                <w:sz w:val="18"/>
                <w:szCs w:val="18"/>
              </w:rPr>
              <w:t xml:space="preserve"> to date</w:t>
            </w:r>
            <w:r w:rsidR="00427F20" w:rsidRPr="001763AE">
              <w:rPr>
                <w:rFonts w:cs="Times New Roman"/>
                <w:sz w:val="18"/>
                <w:szCs w:val="18"/>
              </w:rPr>
              <w:t xml:space="preserve">. </w:t>
            </w:r>
            <w:r w:rsidRPr="001763AE">
              <w:rPr>
                <w:rFonts w:cs="Times New Roman"/>
                <w:sz w:val="18"/>
                <w:szCs w:val="18"/>
              </w:rPr>
              <w:t>(New mechanism to generate funds proposed through amend</w:t>
            </w:r>
            <w:r w:rsidR="00BE4C28">
              <w:rPr>
                <w:rFonts w:cs="Times New Roman"/>
                <w:sz w:val="18"/>
                <w:szCs w:val="18"/>
              </w:rPr>
              <w:t>ment to the Forest Code awaits</w:t>
            </w:r>
            <w:r w:rsidRPr="001763AE">
              <w:rPr>
                <w:rFonts w:cs="Times New Roman"/>
                <w:sz w:val="18"/>
                <w:szCs w:val="18"/>
              </w:rPr>
              <w:t xml:space="preserve"> approval)</w:t>
            </w:r>
            <w:r w:rsidR="00BE4C28">
              <w:rPr>
                <w:rFonts w:cs="Times New Roman"/>
                <w:sz w:val="18"/>
                <w:szCs w:val="18"/>
              </w:rPr>
              <w:t>.</w:t>
            </w:r>
          </w:p>
        </w:tc>
        <w:tc>
          <w:tcPr>
            <w:tcW w:w="525" w:type="pct"/>
            <w:vAlign w:val="center"/>
          </w:tcPr>
          <w:p w:rsidR="00B8799E" w:rsidRPr="001763AE" w:rsidRDefault="00701E65" w:rsidP="0043572D">
            <w:pPr>
              <w:spacing w:line="228" w:lineRule="auto"/>
              <w:jc w:val="center"/>
              <w:rPr>
                <w:rFonts w:cs="Times New Roman"/>
                <w:b/>
                <w:sz w:val="18"/>
                <w:szCs w:val="18"/>
              </w:rPr>
            </w:pPr>
            <w:r w:rsidRPr="001763AE">
              <w:rPr>
                <w:rFonts w:cs="Times New Roman"/>
                <w:b/>
                <w:sz w:val="18"/>
                <w:szCs w:val="18"/>
              </w:rPr>
              <w:t>M</w:t>
            </w:r>
            <w:r w:rsidR="00790AD4" w:rsidRPr="001763AE">
              <w:rPr>
                <w:rFonts w:cs="Times New Roman"/>
                <w:b/>
                <w:sz w:val="18"/>
                <w:szCs w:val="18"/>
              </w:rPr>
              <w:t>S</w:t>
            </w:r>
          </w:p>
        </w:tc>
        <w:tc>
          <w:tcPr>
            <w:tcW w:w="447" w:type="pct"/>
            <w:vMerge/>
          </w:tcPr>
          <w:p w:rsidR="00B8799E" w:rsidRPr="001763AE" w:rsidRDefault="00B8799E" w:rsidP="0043572D">
            <w:pPr>
              <w:spacing w:line="228" w:lineRule="auto"/>
              <w:jc w:val="center"/>
              <w:rPr>
                <w:rFonts w:cs="Times New Roman"/>
                <w:b/>
                <w:sz w:val="18"/>
                <w:szCs w:val="18"/>
              </w:rPr>
            </w:pPr>
          </w:p>
        </w:tc>
      </w:tr>
      <w:tr w:rsidR="007C63A9" w:rsidRPr="001763AE" w:rsidTr="007C63A9">
        <w:tc>
          <w:tcPr>
            <w:tcW w:w="916" w:type="pct"/>
            <w:vMerge/>
          </w:tcPr>
          <w:p w:rsidR="00B8799E" w:rsidRPr="001763AE" w:rsidRDefault="00B8799E" w:rsidP="0043572D">
            <w:pPr>
              <w:widowControl w:val="0"/>
              <w:autoSpaceDE w:val="0"/>
              <w:autoSpaceDN w:val="0"/>
              <w:adjustRightInd w:val="0"/>
              <w:spacing w:line="228" w:lineRule="auto"/>
              <w:rPr>
                <w:sz w:val="18"/>
                <w:szCs w:val="18"/>
              </w:rPr>
            </w:pPr>
          </w:p>
        </w:tc>
        <w:tc>
          <w:tcPr>
            <w:tcW w:w="788" w:type="pct"/>
          </w:tcPr>
          <w:p w:rsidR="00B8799E" w:rsidRPr="001763AE" w:rsidRDefault="00B8799E" w:rsidP="0043572D">
            <w:pPr>
              <w:widowControl w:val="0"/>
              <w:autoSpaceDE w:val="0"/>
              <w:autoSpaceDN w:val="0"/>
              <w:adjustRightInd w:val="0"/>
              <w:spacing w:line="228" w:lineRule="auto"/>
              <w:rPr>
                <w:sz w:val="18"/>
                <w:szCs w:val="18"/>
              </w:rPr>
            </w:pPr>
            <w:r w:rsidRPr="001763AE">
              <w:rPr>
                <w:sz w:val="18"/>
                <w:szCs w:val="18"/>
              </w:rPr>
              <w:t>Number of cases for environmental compensation and level of fees</w:t>
            </w:r>
            <w:r w:rsidR="00BE4C28">
              <w:rPr>
                <w:sz w:val="18"/>
                <w:szCs w:val="18"/>
              </w:rPr>
              <w:t>.</w:t>
            </w:r>
          </w:p>
        </w:tc>
        <w:tc>
          <w:tcPr>
            <w:tcW w:w="497" w:type="pct"/>
          </w:tcPr>
          <w:p w:rsidR="00B8799E" w:rsidRPr="001763AE" w:rsidRDefault="00B8799E" w:rsidP="0043572D">
            <w:pPr>
              <w:spacing w:line="228" w:lineRule="auto"/>
              <w:rPr>
                <w:rFonts w:cs="Times New Roman"/>
                <w:sz w:val="18"/>
                <w:szCs w:val="18"/>
              </w:rPr>
            </w:pPr>
            <w:r w:rsidRPr="001763AE">
              <w:rPr>
                <w:rFonts w:cs="Times New Roman"/>
                <w:sz w:val="18"/>
                <w:szCs w:val="18"/>
              </w:rPr>
              <w:t>None</w:t>
            </w:r>
          </w:p>
        </w:tc>
        <w:tc>
          <w:tcPr>
            <w:tcW w:w="535" w:type="pct"/>
          </w:tcPr>
          <w:p w:rsidR="00B8799E" w:rsidRPr="001763AE" w:rsidRDefault="00B8799E" w:rsidP="0043572D">
            <w:pPr>
              <w:spacing w:line="228" w:lineRule="auto"/>
              <w:rPr>
                <w:rFonts w:cs="Times New Roman"/>
                <w:sz w:val="18"/>
                <w:szCs w:val="18"/>
              </w:rPr>
            </w:pPr>
            <w:r w:rsidRPr="001763AE">
              <w:rPr>
                <w:rFonts w:cs="Times New Roman"/>
                <w:sz w:val="18"/>
                <w:szCs w:val="18"/>
              </w:rPr>
              <w:t xml:space="preserve">3 by </w:t>
            </w:r>
            <w:r w:rsidR="00E2271C" w:rsidRPr="001763AE">
              <w:rPr>
                <w:rFonts w:cs="Times New Roman"/>
                <w:sz w:val="18"/>
                <w:szCs w:val="18"/>
              </w:rPr>
              <w:t>Dec. 2013</w:t>
            </w:r>
          </w:p>
        </w:tc>
        <w:tc>
          <w:tcPr>
            <w:tcW w:w="1291" w:type="pct"/>
          </w:tcPr>
          <w:p w:rsidR="00B8799E" w:rsidRPr="001763AE" w:rsidRDefault="00B8799E" w:rsidP="00AD6D99">
            <w:pPr>
              <w:spacing w:line="228" w:lineRule="auto"/>
              <w:rPr>
                <w:rFonts w:cs="Times New Roman"/>
                <w:sz w:val="18"/>
                <w:szCs w:val="18"/>
              </w:rPr>
            </w:pPr>
            <w:r w:rsidRPr="001763AE">
              <w:rPr>
                <w:rFonts w:cs="Times New Roman"/>
                <w:sz w:val="18"/>
                <w:szCs w:val="18"/>
              </w:rPr>
              <w:t xml:space="preserve">No compensation or off setting mechanism </w:t>
            </w:r>
            <w:r w:rsidR="00AD6D99">
              <w:rPr>
                <w:rFonts w:cs="Times New Roman"/>
                <w:sz w:val="18"/>
                <w:szCs w:val="18"/>
              </w:rPr>
              <w:t xml:space="preserve">yet </w:t>
            </w:r>
            <w:r w:rsidRPr="001763AE">
              <w:rPr>
                <w:rFonts w:cs="Times New Roman"/>
                <w:sz w:val="18"/>
                <w:szCs w:val="18"/>
              </w:rPr>
              <w:t>established</w:t>
            </w:r>
            <w:r w:rsidR="00427F20" w:rsidRPr="001763AE">
              <w:rPr>
                <w:rFonts w:cs="Times New Roman"/>
                <w:sz w:val="18"/>
                <w:szCs w:val="18"/>
              </w:rPr>
              <w:t xml:space="preserve">. </w:t>
            </w:r>
            <w:r w:rsidRPr="001763AE">
              <w:rPr>
                <w:rFonts w:cs="Times New Roman"/>
                <w:sz w:val="18"/>
                <w:szCs w:val="18"/>
              </w:rPr>
              <w:t>(New mechanism proposed through amendment to the Forest Code</w:t>
            </w:r>
            <w:r w:rsidR="00BE4C28">
              <w:rPr>
                <w:rFonts w:cs="Times New Roman"/>
                <w:sz w:val="18"/>
                <w:szCs w:val="18"/>
              </w:rPr>
              <w:t xml:space="preserve"> awaits</w:t>
            </w:r>
            <w:r w:rsidR="00AD6D99">
              <w:rPr>
                <w:rFonts w:cs="Times New Roman"/>
                <w:sz w:val="18"/>
                <w:szCs w:val="18"/>
              </w:rPr>
              <w:t xml:space="preserve"> approval</w:t>
            </w:r>
            <w:r w:rsidRPr="001763AE">
              <w:rPr>
                <w:rFonts w:cs="Times New Roman"/>
                <w:sz w:val="18"/>
                <w:szCs w:val="18"/>
              </w:rPr>
              <w:t>)</w:t>
            </w:r>
            <w:r w:rsidR="00BE4C28">
              <w:rPr>
                <w:rFonts w:cs="Times New Roman"/>
                <w:sz w:val="18"/>
                <w:szCs w:val="18"/>
              </w:rPr>
              <w:t>.</w:t>
            </w:r>
          </w:p>
        </w:tc>
        <w:tc>
          <w:tcPr>
            <w:tcW w:w="525" w:type="pct"/>
            <w:vAlign w:val="center"/>
          </w:tcPr>
          <w:p w:rsidR="00B8799E" w:rsidRPr="001763AE" w:rsidRDefault="00701E65" w:rsidP="0043572D">
            <w:pPr>
              <w:spacing w:line="228" w:lineRule="auto"/>
              <w:jc w:val="center"/>
              <w:rPr>
                <w:rFonts w:cs="Times New Roman"/>
                <w:b/>
                <w:sz w:val="18"/>
                <w:szCs w:val="18"/>
              </w:rPr>
            </w:pPr>
            <w:r w:rsidRPr="001763AE">
              <w:rPr>
                <w:rFonts w:cs="Times New Roman"/>
                <w:b/>
                <w:sz w:val="18"/>
                <w:szCs w:val="18"/>
              </w:rPr>
              <w:t>M</w:t>
            </w:r>
            <w:r w:rsidR="00790AD4" w:rsidRPr="001763AE">
              <w:rPr>
                <w:rFonts w:cs="Times New Roman"/>
                <w:b/>
                <w:sz w:val="18"/>
                <w:szCs w:val="18"/>
              </w:rPr>
              <w:t>S</w:t>
            </w:r>
          </w:p>
        </w:tc>
        <w:tc>
          <w:tcPr>
            <w:tcW w:w="447" w:type="pct"/>
            <w:vMerge/>
          </w:tcPr>
          <w:p w:rsidR="00B8799E" w:rsidRPr="001763AE" w:rsidRDefault="00B8799E" w:rsidP="0043572D">
            <w:pPr>
              <w:spacing w:line="228" w:lineRule="auto"/>
              <w:jc w:val="center"/>
              <w:rPr>
                <w:rFonts w:cs="Times New Roman"/>
                <w:b/>
                <w:sz w:val="18"/>
                <w:szCs w:val="18"/>
              </w:rPr>
            </w:pPr>
          </w:p>
        </w:tc>
      </w:tr>
      <w:tr w:rsidR="007C63A9" w:rsidRPr="001763AE" w:rsidTr="007C63A9">
        <w:tc>
          <w:tcPr>
            <w:tcW w:w="916" w:type="pct"/>
          </w:tcPr>
          <w:p w:rsidR="00B8799E" w:rsidRPr="001763AE" w:rsidRDefault="00B8799E" w:rsidP="0043572D">
            <w:pPr>
              <w:spacing w:line="228" w:lineRule="auto"/>
              <w:rPr>
                <w:sz w:val="18"/>
                <w:szCs w:val="18"/>
              </w:rPr>
            </w:pPr>
            <w:r w:rsidRPr="001763AE">
              <w:rPr>
                <w:sz w:val="18"/>
                <w:szCs w:val="18"/>
              </w:rPr>
              <w:t>1</w:t>
            </w:r>
            <w:r w:rsidR="007C63A9" w:rsidRPr="001763AE">
              <w:rPr>
                <w:sz w:val="18"/>
                <w:szCs w:val="18"/>
              </w:rPr>
              <w:t>.</w:t>
            </w:r>
            <w:r w:rsidRPr="001763AE">
              <w:rPr>
                <w:sz w:val="18"/>
                <w:szCs w:val="18"/>
              </w:rPr>
              <w:t>4: Model business plans developed to demonstrate specific market-based revenue mechanisms for 5 clusters of PAs in the Rom</w:t>
            </w:r>
            <w:r w:rsidR="006E6ED1">
              <w:rPr>
                <w:sz w:val="18"/>
                <w:szCs w:val="18"/>
              </w:rPr>
              <w:t>anian Carpathians.</w:t>
            </w:r>
          </w:p>
        </w:tc>
        <w:tc>
          <w:tcPr>
            <w:tcW w:w="788" w:type="pct"/>
          </w:tcPr>
          <w:p w:rsidR="00B8799E" w:rsidRPr="001763AE" w:rsidRDefault="00B8799E" w:rsidP="0043572D">
            <w:pPr>
              <w:widowControl w:val="0"/>
              <w:autoSpaceDE w:val="0"/>
              <w:autoSpaceDN w:val="0"/>
              <w:adjustRightInd w:val="0"/>
              <w:spacing w:line="228" w:lineRule="auto"/>
              <w:rPr>
                <w:sz w:val="18"/>
                <w:szCs w:val="18"/>
              </w:rPr>
            </w:pPr>
            <w:r w:rsidRPr="001763AE">
              <w:rPr>
                <w:sz w:val="18"/>
                <w:szCs w:val="18"/>
              </w:rPr>
              <w:t>Number of sites in Carpathians with business plans and cost-reduction strategies</w:t>
            </w:r>
            <w:r w:rsidR="00BE4C28">
              <w:rPr>
                <w:sz w:val="18"/>
                <w:szCs w:val="18"/>
              </w:rPr>
              <w:t>.</w:t>
            </w:r>
          </w:p>
        </w:tc>
        <w:tc>
          <w:tcPr>
            <w:tcW w:w="497" w:type="pct"/>
          </w:tcPr>
          <w:p w:rsidR="00B8799E" w:rsidRPr="001763AE" w:rsidRDefault="00B8799E" w:rsidP="0043572D">
            <w:pPr>
              <w:spacing w:line="228" w:lineRule="auto"/>
              <w:rPr>
                <w:rFonts w:cs="Times New Roman"/>
                <w:sz w:val="18"/>
                <w:szCs w:val="18"/>
              </w:rPr>
            </w:pPr>
            <w:r w:rsidRPr="001763AE">
              <w:rPr>
                <w:rFonts w:cs="Times New Roman"/>
                <w:sz w:val="18"/>
                <w:szCs w:val="18"/>
              </w:rPr>
              <w:t>0</w:t>
            </w:r>
          </w:p>
        </w:tc>
        <w:tc>
          <w:tcPr>
            <w:tcW w:w="535" w:type="pct"/>
          </w:tcPr>
          <w:p w:rsidR="00B8799E" w:rsidRPr="001763AE" w:rsidRDefault="00B8799E" w:rsidP="0043572D">
            <w:pPr>
              <w:spacing w:line="228" w:lineRule="auto"/>
              <w:rPr>
                <w:rFonts w:cs="Times New Roman"/>
                <w:sz w:val="18"/>
                <w:szCs w:val="18"/>
              </w:rPr>
            </w:pPr>
            <w:r w:rsidRPr="001763AE">
              <w:rPr>
                <w:rFonts w:cs="Times New Roman"/>
                <w:sz w:val="18"/>
                <w:szCs w:val="18"/>
              </w:rPr>
              <w:t xml:space="preserve">5 by </w:t>
            </w:r>
            <w:r w:rsidR="00E2271C" w:rsidRPr="001763AE">
              <w:rPr>
                <w:rFonts w:cs="Times New Roman"/>
                <w:sz w:val="18"/>
                <w:szCs w:val="18"/>
              </w:rPr>
              <w:t>Dec. 2013</w:t>
            </w:r>
          </w:p>
        </w:tc>
        <w:tc>
          <w:tcPr>
            <w:tcW w:w="1291" w:type="pct"/>
          </w:tcPr>
          <w:p w:rsidR="00427F20" w:rsidRPr="001763AE" w:rsidRDefault="00B8799E" w:rsidP="0043572D">
            <w:pPr>
              <w:spacing w:line="228" w:lineRule="auto"/>
              <w:rPr>
                <w:rFonts w:cs="Times New Roman"/>
                <w:sz w:val="18"/>
                <w:szCs w:val="18"/>
              </w:rPr>
            </w:pPr>
            <w:r w:rsidRPr="001763AE">
              <w:rPr>
                <w:rFonts w:cs="Times New Roman"/>
                <w:sz w:val="18"/>
                <w:szCs w:val="18"/>
              </w:rPr>
              <w:t>5</w:t>
            </w:r>
            <w:r w:rsidR="00427F20" w:rsidRPr="001763AE">
              <w:rPr>
                <w:rFonts w:cs="Times New Roman"/>
                <w:sz w:val="18"/>
                <w:szCs w:val="18"/>
              </w:rPr>
              <w:t xml:space="preserve">. </w:t>
            </w:r>
            <w:r w:rsidRPr="001763AE">
              <w:rPr>
                <w:rFonts w:cs="Times New Roman"/>
                <w:sz w:val="18"/>
                <w:szCs w:val="18"/>
              </w:rPr>
              <w:t>All pilot PAs have business plans</w:t>
            </w:r>
            <w:r w:rsidR="00427F20" w:rsidRPr="001763AE">
              <w:rPr>
                <w:rFonts w:cs="Times New Roman"/>
                <w:sz w:val="18"/>
                <w:szCs w:val="18"/>
              </w:rPr>
              <w:t>.</w:t>
            </w:r>
          </w:p>
          <w:p w:rsidR="00B8799E" w:rsidRPr="001763AE" w:rsidRDefault="00B8799E" w:rsidP="0043572D">
            <w:pPr>
              <w:spacing w:line="228" w:lineRule="auto"/>
              <w:rPr>
                <w:rFonts w:cs="Times New Roman"/>
                <w:sz w:val="18"/>
                <w:szCs w:val="18"/>
              </w:rPr>
            </w:pPr>
            <w:r w:rsidRPr="001763AE">
              <w:rPr>
                <w:rFonts w:cs="Times New Roman"/>
                <w:sz w:val="18"/>
                <w:szCs w:val="18"/>
              </w:rPr>
              <w:t>5 site based cost saving strategies in place based on the business plans and use of the FMS</w:t>
            </w:r>
            <w:r w:rsidR="00BE4C28">
              <w:rPr>
                <w:rFonts w:cs="Times New Roman"/>
                <w:sz w:val="18"/>
                <w:szCs w:val="18"/>
              </w:rPr>
              <w:t>.</w:t>
            </w:r>
          </w:p>
        </w:tc>
        <w:tc>
          <w:tcPr>
            <w:tcW w:w="525" w:type="pct"/>
            <w:vAlign w:val="center"/>
          </w:tcPr>
          <w:p w:rsidR="00B8799E" w:rsidRPr="001763AE" w:rsidRDefault="00B8799E" w:rsidP="0043572D">
            <w:pPr>
              <w:spacing w:line="228" w:lineRule="auto"/>
              <w:jc w:val="center"/>
              <w:rPr>
                <w:rFonts w:cs="Times New Roman"/>
                <w:b/>
                <w:sz w:val="18"/>
                <w:szCs w:val="18"/>
              </w:rPr>
            </w:pPr>
            <w:r w:rsidRPr="001763AE">
              <w:rPr>
                <w:rFonts w:cs="Times New Roman"/>
                <w:b/>
                <w:sz w:val="18"/>
                <w:szCs w:val="18"/>
              </w:rPr>
              <w:t>S</w:t>
            </w:r>
          </w:p>
        </w:tc>
        <w:tc>
          <w:tcPr>
            <w:tcW w:w="447" w:type="pct"/>
            <w:vAlign w:val="center"/>
          </w:tcPr>
          <w:p w:rsidR="00B8799E" w:rsidRPr="001763AE" w:rsidRDefault="00B8799E" w:rsidP="0043572D">
            <w:pPr>
              <w:spacing w:line="228" w:lineRule="auto"/>
              <w:jc w:val="center"/>
              <w:rPr>
                <w:rFonts w:cs="Times New Roman"/>
                <w:b/>
                <w:sz w:val="18"/>
                <w:szCs w:val="18"/>
              </w:rPr>
            </w:pPr>
            <w:r w:rsidRPr="001763AE">
              <w:rPr>
                <w:rFonts w:cs="Times New Roman"/>
                <w:b/>
                <w:sz w:val="18"/>
                <w:szCs w:val="18"/>
              </w:rPr>
              <w:t>S</w:t>
            </w:r>
          </w:p>
        </w:tc>
      </w:tr>
      <w:tr w:rsidR="007C63A9" w:rsidRPr="001763AE" w:rsidTr="007C63A9">
        <w:tc>
          <w:tcPr>
            <w:tcW w:w="916" w:type="pct"/>
            <w:vMerge w:val="restart"/>
          </w:tcPr>
          <w:p w:rsidR="00B8799E" w:rsidRPr="001763AE" w:rsidRDefault="00B8799E" w:rsidP="0043572D">
            <w:pPr>
              <w:widowControl w:val="0"/>
              <w:autoSpaceDE w:val="0"/>
              <w:autoSpaceDN w:val="0"/>
              <w:adjustRightInd w:val="0"/>
              <w:spacing w:line="228" w:lineRule="auto"/>
              <w:rPr>
                <w:sz w:val="18"/>
                <w:szCs w:val="18"/>
              </w:rPr>
            </w:pPr>
            <w:r w:rsidRPr="001763AE">
              <w:rPr>
                <w:sz w:val="18"/>
                <w:szCs w:val="18"/>
              </w:rPr>
              <w:t>1</w:t>
            </w:r>
            <w:r w:rsidR="007C63A9" w:rsidRPr="001763AE">
              <w:rPr>
                <w:sz w:val="18"/>
                <w:szCs w:val="18"/>
              </w:rPr>
              <w:t>.</w:t>
            </w:r>
            <w:r w:rsidRPr="001763AE">
              <w:rPr>
                <w:sz w:val="18"/>
                <w:szCs w:val="18"/>
              </w:rPr>
              <w:t>5: A set of diversified</w:t>
            </w:r>
            <w:r w:rsidR="006E16CE" w:rsidRPr="001763AE">
              <w:rPr>
                <w:sz w:val="18"/>
                <w:szCs w:val="18"/>
              </w:rPr>
              <w:t xml:space="preserve"> </w:t>
            </w:r>
            <w:r w:rsidRPr="001763AE">
              <w:rPr>
                <w:sz w:val="18"/>
                <w:szCs w:val="18"/>
              </w:rPr>
              <w:t>PA income-generation mechanisms (market and non-market optio</w:t>
            </w:r>
            <w:r w:rsidR="00BE4C28">
              <w:rPr>
                <w:sz w:val="18"/>
                <w:szCs w:val="18"/>
              </w:rPr>
              <w:t>ns) validated in at least 3 PAs.</w:t>
            </w:r>
          </w:p>
        </w:tc>
        <w:tc>
          <w:tcPr>
            <w:tcW w:w="788" w:type="pct"/>
          </w:tcPr>
          <w:p w:rsidR="00B8799E" w:rsidRPr="001763AE" w:rsidRDefault="00B8799E" w:rsidP="0043572D">
            <w:pPr>
              <w:widowControl w:val="0"/>
              <w:autoSpaceDE w:val="0"/>
              <w:autoSpaceDN w:val="0"/>
              <w:adjustRightInd w:val="0"/>
              <w:spacing w:line="228" w:lineRule="auto"/>
              <w:rPr>
                <w:sz w:val="18"/>
                <w:szCs w:val="18"/>
              </w:rPr>
            </w:pPr>
            <w:r w:rsidRPr="001763AE">
              <w:rPr>
                <w:sz w:val="18"/>
                <w:szCs w:val="18"/>
              </w:rPr>
              <w:t>Number of sites with diversified market-based instruments for PA funding</w:t>
            </w:r>
            <w:r w:rsidR="00BE4C28">
              <w:rPr>
                <w:sz w:val="18"/>
                <w:szCs w:val="18"/>
              </w:rPr>
              <w:t>.</w:t>
            </w:r>
          </w:p>
        </w:tc>
        <w:tc>
          <w:tcPr>
            <w:tcW w:w="497" w:type="pct"/>
          </w:tcPr>
          <w:p w:rsidR="00B8799E" w:rsidRPr="001763AE" w:rsidRDefault="00B8799E" w:rsidP="0043572D">
            <w:pPr>
              <w:spacing w:line="228" w:lineRule="auto"/>
              <w:rPr>
                <w:rFonts w:cs="Times New Roman"/>
                <w:sz w:val="18"/>
                <w:szCs w:val="18"/>
              </w:rPr>
            </w:pPr>
            <w:r w:rsidRPr="001763AE">
              <w:rPr>
                <w:rFonts w:cs="Times New Roman"/>
                <w:sz w:val="18"/>
                <w:szCs w:val="18"/>
              </w:rPr>
              <w:t>0</w:t>
            </w:r>
          </w:p>
        </w:tc>
        <w:tc>
          <w:tcPr>
            <w:tcW w:w="535" w:type="pct"/>
          </w:tcPr>
          <w:p w:rsidR="00B8799E" w:rsidRPr="001763AE" w:rsidRDefault="00B8799E" w:rsidP="0043572D">
            <w:pPr>
              <w:spacing w:line="228" w:lineRule="auto"/>
              <w:rPr>
                <w:rFonts w:cs="Times New Roman"/>
                <w:sz w:val="18"/>
                <w:szCs w:val="18"/>
              </w:rPr>
            </w:pPr>
            <w:r w:rsidRPr="001763AE">
              <w:rPr>
                <w:rFonts w:cs="Times New Roman"/>
                <w:sz w:val="18"/>
                <w:szCs w:val="18"/>
              </w:rPr>
              <w:t>Min 3</w:t>
            </w:r>
          </w:p>
        </w:tc>
        <w:tc>
          <w:tcPr>
            <w:tcW w:w="1291" w:type="pct"/>
          </w:tcPr>
          <w:p w:rsidR="00B8799E" w:rsidRPr="001763AE" w:rsidRDefault="00B8799E" w:rsidP="004047A8">
            <w:pPr>
              <w:spacing w:line="228" w:lineRule="auto"/>
              <w:rPr>
                <w:rFonts w:cs="Times New Roman"/>
                <w:sz w:val="18"/>
                <w:szCs w:val="18"/>
              </w:rPr>
            </w:pPr>
            <w:r w:rsidRPr="001763AE">
              <w:rPr>
                <w:rFonts w:cs="Times New Roman"/>
                <w:sz w:val="18"/>
                <w:szCs w:val="18"/>
              </w:rPr>
              <w:t>5+ PAs have introduced a range of new income ge</w:t>
            </w:r>
            <w:r w:rsidR="00086A35" w:rsidRPr="001763AE">
              <w:rPr>
                <w:rFonts w:cs="Times New Roman"/>
                <w:sz w:val="18"/>
                <w:szCs w:val="18"/>
              </w:rPr>
              <w:t>neration mechanisms.</w:t>
            </w:r>
          </w:p>
        </w:tc>
        <w:tc>
          <w:tcPr>
            <w:tcW w:w="525" w:type="pct"/>
            <w:vAlign w:val="center"/>
          </w:tcPr>
          <w:p w:rsidR="00B8799E" w:rsidRPr="001763AE" w:rsidRDefault="00701E65" w:rsidP="0043572D">
            <w:pPr>
              <w:spacing w:line="228" w:lineRule="auto"/>
              <w:jc w:val="center"/>
              <w:rPr>
                <w:rFonts w:cs="Times New Roman"/>
                <w:b/>
                <w:sz w:val="18"/>
                <w:szCs w:val="18"/>
              </w:rPr>
            </w:pPr>
            <w:r w:rsidRPr="001763AE">
              <w:rPr>
                <w:rFonts w:cs="Times New Roman"/>
                <w:b/>
                <w:sz w:val="18"/>
                <w:szCs w:val="18"/>
              </w:rPr>
              <w:t>S</w:t>
            </w:r>
          </w:p>
        </w:tc>
        <w:tc>
          <w:tcPr>
            <w:tcW w:w="447" w:type="pct"/>
            <w:vMerge w:val="restart"/>
            <w:vAlign w:val="center"/>
          </w:tcPr>
          <w:p w:rsidR="00B8799E" w:rsidRPr="001763AE" w:rsidRDefault="00701E65" w:rsidP="0043572D">
            <w:pPr>
              <w:spacing w:line="228" w:lineRule="auto"/>
              <w:jc w:val="center"/>
              <w:rPr>
                <w:rFonts w:cs="Times New Roman"/>
                <w:b/>
                <w:sz w:val="18"/>
                <w:szCs w:val="18"/>
              </w:rPr>
            </w:pPr>
            <w:r w:rsidRPr="001763AE">
              <w:rPr>
                <w:rFonts w:cs="Times New Roman"/>
                <w:b/>
                <w:sz w:val="18"/>
                <w:szCs w:val="18"/>
              </w:rPr>
              <w:t>S</w:t>
            </w:r>
          </w:p>
        </w:tc>
      </w:tr>
      <w:tr w:rsidR="007C63A9" w:rsidRPr="001763AE" w:rsidTr="007C63A9">
        <w:tc>
          <w:tcPr>
            <w:tcW w:w="916" w:type="pct"/>
            <w:vMerge/>
          </w:tcPr>
          <w:p w:rsidR="00B8799E" w:rsidRPr="001763AE" w:rsidRDefault="00B8799E" w:rsidP="0043572D">
            <w:pPr>
              <w:widowControl w:val="0"/>
              <w:autoSpaceDE w:val="0"/>
              <w:autoSpaceDN w:val="0"/>
              <w:adjustRightInd w:val="0"/>
              <w:spacing w:line="228" w:lineRule="auto"/>
              <w:rPr>
                <w:sz w:val="18"/>
                <w:szCs w:val="18"/>
              </w:rPr>
            </w:pPr>
          </w:p>
        </w:tc>
        <w:tc>
          <w:tcPr>
            <w:tcW w:w="788" w:type="pct"/>
          </w:tcPr>
          <w:p w:rsidR="00B8799E" w:rsidRPr="001763AE" w:rsidRDefault="00B8799E" w:rsidP="0043572D">
            <w:pPr>
              <w:widowControl w:val="0"/>
              <w:autoSpaceDE w:val="0"/>
              <w:autoSpaceDN w:val="0"/>
              <w:adjustRightInd w:val="0"/>
              <w:spacing w:line="228" w:lineRule="auto"/>
              <w:rPr>
                <w:sz w:val="18"/>
                <w:szCs w:val="18"/>
              </w:rPr>
            </w:pPr>
            <w:r w:rsidRPr="001763AE">
              <w:rPr>
                <w:sz w:val="18"/>
                <w:szCs w:val="18"/>
              </w:rPr>
              <w:t>Number of cost-saving strategies in place at PA system level</w:t>
            </w:r>
            <w:r w:rsidR="00BE4C28">
              <w:rPr>
                <w:sz w:val="18"/>
                <w:szCs w:val="18"/>
              </w:rPr>
              <w:t>.</w:t>
            </w:r>
          </w:p>
        </w:tc>
        <w:tc>
          <w:tcPr>
            <w:tcW w:w="497" w:type="pct"/>
          </w:tcPr>
          <w:p w:rsidR="00B8799E" w:rsidRPr="001763AE" w:rsidRDefault="00B8799E" w:rsidP="0043572D">
            <w:pPr>
              <w:spacing w:line="228" w:lineRule="auto"/>
              <w:rPr>
                <w:rFonts w:cs="Times New Roman"/>
                <w:sz w:val="18"/>
                <w:szCs w:val="18"/>
              </w:rPr>
            </w:pPr>
            <w:r w:rsidRPr="001763AE">
              <w:rPr>
                <w:rFonts w:cs="Times New Roman"/>
                <w:sz w:val="18"/>
                <w:szCs w:val="18"/>
              </w:rPr>
              <w:t>0</w:t>
            </w:r>
          </w:p>
        </w:tc>
        <w:tc>
          <w:tcPr>
            <w:tcW w:w="535" w:type="pct"/>
          </w:tcPr>
          <w:p w:rsidR="00B8799E" w:rsidRPr="001763AE" w:rsidRDefault="00B8799E" w:rsidP="0043572D">
            <w:pPr>
              <w:spacing w:line="228" w:lineRule="auto"/>
              <w:rPr>
                <w:rFonts w:cs="Times New Roman"/>
                <w:sz w:val="18"/>
                <w:szCs w:val="18"/>
              </w:rPr>
            </w:pPr>
            <w:r w:rsidRPr="001763AE">
              <w:rPr>
                <w:rFonts w:cs="Times New Roman"/>
                <w:sz w:val="18"/>
                <w:szCs w:val="18"/>
              </w:rPr>
              <w:t>&gt;10</w:t>
            </w:r>
          </w:p>
        </w:tc>
        <w:tc>
          <w:tcPr>
            <w:tcW w:w="1291" w:type="pct"/>
          </w:tcPr>
          <w:p w:rsidR="00B8799E" w:rsidRPr="001763AE" w:rsidRDefault="00B8799E" w:rsidP="0043572D">
            <w:pPr>
              <w:spacing w:line="228" w:lineRule="auto"/>
              <w:rPr>
                <w:rFonts w:cs="Times New Roman"/>
                <w:sz w:val="18"/>
                <w:szCs w:val="18"/>
              </w:rPr>
            </w:pPr>
            <w:r w:rsidRPr="001763AE">
              <w:rPr>
                <w:rFonts w:cs="Times New Roman"/>
                <w:sz w:val="18"/>
                <w:szCs w:val="18"/>
              </w:rPr>
              <w:t>No overall cost saving strategy in place at the system level, although monitoring of the FMS has enabled better monitoring of costs and efficiencies</w:t>
            </w:r>
            <w:r w:rsidR="00BE4C28">
              <w:rPr>
                <w:rFonts w:cs="Times New Roman"/>
                <w:sz w:val="18"/>
                <w:szCs w:val="18"/>
              </w:rPr>
              <w:t>.</w:t>
            </w:r>
          </w:p>
        </w:tc>
        <w:tc>
          <w:tcPr>
            <w:tcW w:w="525" w:type="pct"/>
            <w:vAlign w:val="center"/>
          </w:tcPr>
          <w:p w:rsidR="00B8799E" w:rsidRPr="001763AE" w:rsidRDefault="00B8799E" w:rsidP="0043572D">
            <w:pPr>
              <w:spacing w:line="228" w:lineRule="auto"/>
              <w:jc w:val="center"/>
              <w:rPr>
                <w:rFonts w:cs="Times New Roman"/>
                <w:b/>
                <w:sz w:val="18"/>
                <w:szCs w:val="18"/>
              </w:rPr>
            </w:pPr>
            <w:r w:rsidRPr="001763AE">
              <w:rPr>
                <w:rFonts w:cs="Times New Roman"/>
                <w:b/>
                <w:sz w:val="18"/>
                <w:szCs w:val="18"/>
              </w:rPr>
              <w:t>MS</w:t>
            </w:r>
          </w:p>
        </w:tc>
        <w:tc>
          <w:tcPr>
            <w:tcW w:w="447" w:type="pct"/>
            <w:vMerge/>
          </w:tcPr>
          <w:p w:rsidR="00B8799E" w:rsidRPr="001763AE" w:rsidRDefault="00B8799E" w:rsidP="0043572D">
            <w:pPr>
              <w:spacing w:line="228" w:lineRule="auto"/>
              <w:jc w:val="center"/>
              <w:rPr>
                <w:rFonts w:cs="Times New Roman"/>
                <w:b/>
                <w:sz w:val="18"/>
                <w:szCs w:val="18"/>
              </w:rPr>
            </w:pPr>
          </w:p>
        </w:tc>
      </w:tr>
    </w:tbl>
    <w:p w:rsidR="00427F20" w:rsidRPr="001763AE" w:rsidRDefault="00630A5C" w:rsidP="00940762">
      <w:pPr>
        <w:pStyle w:val="Heading5"/>
      </w:pPr>
      <w:r w:rsidRPr="001763AE">
        <w:t>Output 1</w:t>
      </w:r>
      <w:r w:rsidR="007C63A9" w:rsidRPr="001763AE">
        <w:t>.</w:t>
      </w:r>
      <w:r w:rsidRPr="001763AE">
        <w:t>1: A set of by-laws and amendments to the existing legislation developed and promoted</w:t>
      </w:r>
    </w:p>
    <w:p w:rsidR="00055B3D" w:rsidRPr="001763AE" w:rsidRDefault="00055B3D" w:rsidP="00055B3D">
      <w:pPr>
        <w:pStyle w:val="Heading6"/>
      </w:pPr>
      <w:r w:rsidRPr="001763AE">
        <w:lastRenderedPageBreak/>
        <w:t>Indicator: Number of sets of suggestions and regulations for improving PA financing legislation, developed and promoted to decision makers</w:t>
      </w:r>
    </w:p>
    <w:p w:rsidR="00427F20" w:rsidRPr="001763AE" w:rsidRDefault="00ED184F" w:rsidP="00DB28F8">
      <w:pPr>
        <w:pStyle w:val="NumberedPara"/>
        <w:numPr>
          <w:ilvl w:val="0"/>
          <w:numId w:val="0"/>
        </w:numPr>
      </w:pPr>
      <w:bookmarkStart w:id="27" w:name="_Ref391296163"/>
      <w:r w:rsidRPr="001763AE">
        <w:t xml:space="preserve">The project </w:t>
      </w:r>
      <w:r w:rsidR="003838B9" w:rsidRPr="001763AE">
        <w:t>made commendable efforts to identify</w:t>
      </w:r>
      <w:r w:rsidRPr="001763AE">
        <w:t xml:space="preserve"> needs for improved legislation</w:t>
      </w:r>
      <w:r w:rsidR="003838B9" w:rsidRPr="001763AE">
        <w:t>, to draft proposals and to promote their adoption</w:t>
      </w:r>
      <w:r w:rsidR="00427F20" w:rsidRPr="001763AE">
        <w:t xml:space="preserve">. </w:t>
      </w:r>
      <w:r w:rsidR="00E15060" w:rsidRPr="001763AE">
        <w:t>A national legal consultant was effectively engaged to draft pr</w:t>
      </w:r>
      <w:r w:rsidRPr="001763AE">
        <w:t>oposals in the correct legal format</w:t>
      </w:r>
      <w:r w:rsidR="00427F20" w:rsidRPr="001763AE">
        <w:t xml:space="preserve">. </w:t>
      </w:r>
      <w:r w:rsidR="008715C9" w:rsidRPr="001763AE">
        <w:t xml:space="preserve">The project approached the issue from a range of angles, developed </w:t>
      </w:r>
      <w:r w:rsidR="00052C2E" w:rsidRPr="001763AE">
        <w:t>well</w:t>
      </w:r>
      <w:r w:rsidR="008715C9" w:rsidRPr="001763AE">
        <w:t>-thought-</w:t>
      </w:r>
      <w:r w:rsidR="00052C2E" w:rsidRPr="001763AE">
        <w:t xml:space="preserve">through </w:t>
      </w:r>
      <w:r w:rsidR="008715C9" w:rsidRPr="001763AE">
        <w:t xml:space="preserve">and detailed technical proposals, held </w:t>
      </w:r>
      <w:r w:rsidR="00052C2E" w:rsidRPr="001763AE">
        <w:t xml:space="preserve">numerous meetings and consultations, </w:t>
      </w:r>
      <w:r w:rsidR="008715C9" w:rsidRPr="001763AE">
        <w:t xml:space="preserve">and initiated </w:t>
      </w:r>
      <w:r w:rsidR="004A3EB0" w:rsidRPr="001763AE">
        <w:t xml:space="preserve">an imaginative </w:t>
      </w:r>
      <w:r w:rsidR="00280705" w:rsidRPr="001763AE">
        <w:t xml:space="preserve">awareness </w:t>
      </w:r>
      <w:r w:rsidR="00AE02C2" w:rsidRPr="001763AE">
        <w:t xml:space="preserve">campaign </w:t>
      </w:r>
      <w:r w:rsidR="00280705" w:rsidRPr="001763AE">
        <w:t>aimed at convincing deci</w:t>
      </w:r>
      <w:r w:rsidR="00052C2E" w:rsidRPr="001763AE">
        <w:t xml:space="preserve">sion makers of the value of sustainably managed </w:t>
      </w:r>
      <w:r w:rsidR="008715C9" w:rsidRPr="001763AE">
        <w:t>protected areas</w:t>
      </w:r>
      <w:r w:rsidR="00280705" w:rsidRPr="001763AE">
        <w:t xml:space="preserve"> (described</w:t>
      </w:r>
      <w:r w:rsidR="00E816EB" w:rsidRPr="001763AE">
        <w:t xml:space="preserve"> in more detail in paragraph </w:t>
      </w:r>
      <w:r w:rsidR="00217E75" w:rsidRPr="001763AE">
        <w:fldChar w:fldCharType="begin"/>
      </w:r>
      <w:r w:rsidR="00E816EB" w:rsidRPr="001763AE">
        <w:instrText xml:space="preserve"> REF _Ref392152633 \r \h </w:instrText>
      </w:r>
      <w:r w:rsidR="00217E75" w:rsidRPr="001763AE">
        <w:fldChar w:fldCharType="separate"/>
      </w:r>
      <w:r w:rsidR="00D406FE">
        <w:t>123</w:t>
      </w:r>
      <w:r w:rsidR="00217E75" w:rsidRPr="001763AE">
        <w:fldChar w:fldCharType="end"/>
      </w:r>
      <w:r w:rsidR="00E816EB" w:rsidRPr="001763AE">
        <w:t xml:space="preserve"> onwards</w:t>
      </w:r>
      <w:r w:rsidR="00280705" w:rsidRPr="001763AE">
        <w:t>)</w:t>
      </w:r>
      <w:r w:rsidR="00427F20" w:rsidRPr="001763AE">
        <w:t xml:space="preserve">. </w:t>
      </w:r>
      <w:r w:rsidR="004B09E3" w:rsidRPr="001763AE">
        <w:t>The proposals made</w:t>
      </w:r>
      <w:r w:rsidR="004B09E3">
        <w:t>,</w:t>
      </w:r>
      <w:r w:rsidR="004B09E3" w:rsidRPr="001763AE">
        <w:t xml:space="preserve"> and their current status are summarised in </w:t>
      </w:r>
      <w:r w:rsidR="00217E75" w:rsidRPr="001763AE">
        <w:fldChar w:fldCharType="begin"/>
      </w:r>
      <w:r w:rsidR="004B09E3" w:rsidRPr="001763AE">
        <w:instrText xml:space="preserve"> REF _Ref391228770 \h </w:instrText>
      </w:r>
      <w:r w:rsidR="00217E75" w:rsidRPr="001763AE">
        <w:fldChar w:fldCharType="separate"/>
      </w:r>
      <w:r w:rsidR="00D406FE" w:rsidRPr="001763AE">
        <w:t xml:space="preserve">Table </w:t>
      </w:r>
      <w:r w:rsidR="00D406FE">
        <w:rPr>
          <w:noProof/>
        </w:rPr>
        <w:t>18</w:t>
      </w:r>
      <w:r w:rsidR="00217E75" w:rsidRPr="001763AE">
        <w:fldChar w:fldCharType="end"/>
      </w:r>
      <w:r w:rsidR="004B09E3">
        <w:t>, showing mixed results</w:t>
      </w:r>
      <w:r w:rsidR="004B09E3" w:rsidRPr="001763AE">
        <w:t xml:space="preserve">. </w:t>
      </w:r>
      <w:r w:rsidR="004A3EB0" w:rsidRPr="001763AE">
        <w:t>In response to the lack of progress, the project took the pragmatic decision</w:t>
      </w:r>
      <w:r w:rsidR="00AE02C2" w:rsidRPr="001763AE">
        <w:t xml:space="preserve"> in 2013 to focus only on two priorities: (i) Nego</w:t>
      </w:r>
      <w:r w:rsidR="004A3EB0" w:rsidRPr="001763AE">
        <w:t>tiations on the contractual arr</w:t>
      </w:r>
      <w:r w:rsidR="00AE02C2" w:rsidRPr="001763AE">
        <w:t>angements for PA management between the NFA and the MoECC (including means for enabling central funding transfers)</w:t>
      </w:r>
      <w:r w:rsidR="004A3EB0" w:rsidRPr="001763AE">
        <w:t xml:space="preserve"> </w:t>
      </w:r>
      <w:r w:rsidR="00AE02C2" w:rsidRPr="001763AE">
        <w:t>and (ii) implementation of a PES/EC scheme through the proposed amendments to the Forestry Code</w:t>
      </w:r>
      <w:r w:rsidR="00427F20" w:rsidRPr="001763AE">
        <w:t>.</w:t>
      </w:r>
      <w:r w:rsidR="007D219E" w:rsidRPr="001763AE">
        <w:t xml:space="preserve"> Although fully developed and promoted, </w:t>
      </w:r>
      <w:r w:rsidR="004A3EB0" w:rsidRPr="001763AE">
        <w:t>ne</w:t>
      </w:r>
      <w:r w:rsidR="004B09E3">
        <w:t xml:space="preserve">ither of these initiatives has </w:t>
      </w:r>
      <w:r w:rsidR="007D219E" w:rsidRPr="001763AE">
        <w:t>been adopted</w:t>
      </w:r>
      <w:r w:rsidR="003A7820" w:rsidRPr="001763AE">
        <w:t xml:space="preserve"> </w:t>
      </w:r>
      <w:r w:rsidR="004A3EB0" w:rsidRPr="001763AE">
        <w:t xml:space="preserve">in the lifetime of the project, although there is a reasonable chance that the </w:t>
      </w:r>
      <w:r w:rsidR="004B09E3">
        <w:t>latter</w:t>
      </w:r>
      <w:r w:rsidR="004A3EB0" w:rsidRPr="001763AE">
        <w:t xml:space="preserve"> may be approved</w:t>
      </w:r>
      <w:bookmarkEnd w:id="27"/>
      <w:r w:rsidR="00427F20" w:rsidRPr="001763AE">
        <w:t>.</w:t>
      </w:r>
    </w:p>
    <w:p w:rsidR="00CC40AF" w:rsidRPr="001763AE" w:rsidRDefault="00CC40AF" w:rsidP="00CC40AF">
      <w:pPr>
        <w:pStyle w:val="Caption"/>
      </w:pPr>
      <w:bookmarkStart w:id="28" w:name="_Ref391228770"/>
      <w:r w:rsidRPr="001763AE">
        <w:t xml:space="preserve">Table </w:t>
      </w:r>
      <w:r w:rsidR="00C072C9">
        <w:fldChar w:fldCharType="begin"/>
      </w:r>
      <w:r w:rsidR="00C072C9">
        <w:instrText xml:space="preserve"> SEQ Table \* ARABIC </w:instrText>
      </w:r>
      <w:r w:rsidR="00C072C9">
        <w:fldChar w:fldCharType="separate"/>
      </w:r>
      <w:r w:rsidR="00D406FE">
        <w:rPr>
          <w:noProof/>
        </w:rPr>
        <w:t>18</w:t>
      </w:r>
      <w:r w:rsidR="00C072C9">
        <w:rPr>
          <w:noProof/>
        </w:rPr>
        <w:fldChar w:fldCharType="end"/>
      </w:r>
      <w:bookmarkEnd w:id="28"/>
      <w:r w:rsidRPr="001763AE">
        <w:t xml:space="preserve"> Summary of proposals for changes in legislation and regulations made by the project</w:t>
      </w:r>
      <w:r w:rsidR="006E6ED1">
        <w:t>.</w:t>
      </w:r>
    </w:p>
    <w:tbl>
      <w:tblPr>
        <w:tblStyle w:val="BasicReportTable"/>
        <w:tblW w:w="0" w:type="auto"/>
        <w:tblLook w:val="04A0" w:firstRow="1" w:lastRow="0" w:firstColumn="1" w:lastColumn="0" w:noHBand="0" w:noVBand="1"/>
      </w:tblPr>
      <w:tblGrid>
        <w:gridCol w:w="734"/>
        <w:gridCol w:w="3829"/>
        <w:gridCol w:w="3201"/>
        <w:gridCol w:w="2091"/>
      </w:tblGrid>
      <w:tr w:rsidR="00804319" w:rsidRPr="001763AE" w:rsidTr="007D4972">
        <w:trPr>
          <w:cnfStyle w:val="100000000000" w:firstRow="1" w:lastRow="0" w:firstColumn="0" w:lastColumn="0" w:oddVBand="0" w:evenVBand="0" w:oddHBand="0" w:evenHBand="0" w:firstRowFirstColumn="0" w:firstRowLastColumn="0" w:lastRowFirstColumn="0" w:lastRowLastColumn="0"/>
        </w:trPr>
        <w:tc>
          <w:tcPr>
            <w:tcW w:w="737" w:type="dxa"/>
          </w:tcPr>
          <w:p w:rsidR="00804319" w:rsidRPr="001763AE" w:rsidRDefault="00804319" w:rsidP="00ED1D7C">
            <w:pPr>
              <w:pStyle w:val="NumberedPara"/>
              <w:numPr>
                <w:ilvl w:val="0"/>
                <w:numId w:val="0"/>
              </w:numPr>
              <w:spacing w:before="0" w:after="0" w:line="240" w:lineRule="auto"/>
            </w:pPr>
            <w:r w:rsidRPr="001763AE">
              <w:t>Year</w:t>
            </w:r>
          </w:p>
        </w:tc>
        <w:tc>
          <w:tcPr>
            <w:tcW w:w="3907" w:type="dxa"/>
          </w:tcPr>
          <w:p w:rsidR="00804319" w:rsidRPr="001763AE" w:rsidRDefault="00804319" w:rsidP="00ED1D7C">
            <w:pPr>
              <w:pStyle w:val="NumberedPara"/>
              <w:numPr>
                <w:ilvl w:val="0"/>
                <w:numId w:val="0"/>
              </w:numPr>
              <w:spacing w:before="0" w:after="0" w:line="240" w:lineRule="auto"/>
            </w:pPr>
            <w:r w:rsidRPr="001763AE">
              <w:t>Legal Proposal</w:t>
            </w:r>
          </w:p>
        </w:tc>
        <w:tc>
          <w:tcPr>
            <w:tcW w:w="3261" w:type="dxa"/>
          </w:tcPr>
          <w:p w:rsidR="00804319" w:rsidRPr="001763AE" w:rsidRDefault="00804319" w:rsidP="00ED1D7C">
            <w:pPr>
              <w:pStyle w:val="NumberedPara"/>
              <w:numPr>
                <w:ilvl w:val="0"/>
                <w:numId w:val="0"/>
              </w:numPr>
              <w:spacing w:before="0" w:after="0" w:line="240" w:lineRule="auto"/>
            </w:pPr>
            <w:r w:rsidRPr="001763AE">
              <w:t>Purpose</w:t>
            </w:r>
          </w:p>
        </w:tc>
        <w:tc>
          <w:tcPr>
            <w:tcW w:w="2121" w:type="dxa"/>
          </w:tcPr>
          <w:p w:rsidR="00804319" w:rsidRPr="001763AE" w:rsidRDefault="00804319" w:rsidP="00ED1D7C">
            <w:pPr>
              <w:pStyle w:val="NumberedPara"/>
              <w:numPr>
                <w:ilvl w:val="0"/>
                <w:numId w:val="0"/>
              </w:numPr>
              <w:spacing w:before="0" w:after="0" w:line="240" w:lineRule="auto"/>
            </w:pPr>
            <w:r w:rsidRPr="001763AE">
              <w:t>Results</w:t>
            </w:r>
          </w:p>
        </w:tc>
      </w:tr>
      <w:tr w:rsidR="00804319" w:rsidRPr="001763AE" w:rsidTr="007D4972">
        <w:tc>
          <w:tcPr>
            <w:tcW w:w="737" w:type="dxa"/>
          </w:tcPr>
          <w:p w:rsidR="00804319" w:rsidRPr="001763AE" w:rsidRDefault="00804319" w:rsidP="00ED1D7C">
            <w:pPr>
              <w:pStyle w:val="NumberedPara"/>
              <w:numPr>
                <w:ilvl w:val="0"/>
                <w:numId w:val="0"/>
              </w:numPr>
              <w:spacing w:before="0" w:after="0" w:line="240" w:lineRule="auto"/>
            </w:pPr>
            <w:r w:rsidRPr="001763AE">
              <w:t>2011</w:t>
            </w:r>
          </w:p>
        </w:tc>
        <w:tc>
          <w:tcPr>
            <w:tcW w:w="3907" w:type="dxa"/>
          </w:tcPr>
          <w:p w:rsidR="00804319" w:rsidRPr="001763AE" w:rsidRDefault="00804319" w:rsidP="00ED1D7C">
            <w:pPr>
              <w:pStyle w:val="NumberedPara"/>
              <w:numPr>
                <w:ilvl w:val="0"/>
                <w:numId w:val="0"/>
              </w:numPr>
              <w:spacing w:before="0" w:after="0" w:line="240" w:lineRule="auto"/>
            </w:pPr>
            <w:r w:rsidRPr="001763AE">
              <w:t>Modification of Emergency Ordinance OUG 196/2005 enabling PA administrators</w:t>
            </w:r>
            <w:r w:rsidR="006E16CE" w:rsidRPr="001763AE">
              <w:t xml:space="preserve"> </w:t>
            </w:r>
            <w:r w:rsidRPr="001763AE">
              <w:t>to deduct PA management costs from the required annual contribution of 2% the</w:t>
            </w:r>
            <w:r w:rsidR="006E16CE" w:rsidRPr="001763AE">
              <w:t xml:space="preserve"> </w:t>
            </w:r>
            <w:r w:rsidRPr="001763AE">
              <w:t>to</w:t>
            </w:r>
            <w:r w:rsidR="00231BC4" w:rsidRPr="001763AE">
              <w:t>tal forest exploitation value (timber value</w:t>
            </w:r>
            <w:r w:rsidRPr="001763AE">
              <w:t>) to the National Environmental Fund</w:t>
            </w:r>
            <w:r w:rsidR="00363DE2">
              <w:t>.</w:t>
            </w:r>
          </w:p>
        </w:tc>
        <w:tc>
          <w:tcPr>
            <w:tcW w:w="3261" w:type="dxa"/>
          </w:tcPr>
          <w:p w:rsidR="00804319" w:rsidRPr="001763AE" w:rsidRDefault="00804319" w:rsidP="00ED1D7C">
            <w:pPr>
              <w:pStyle w:val="NumberedPara"/>
              <w:numPr>
                <w:ilvl w:val="0"/>
                <w:numId w:val="0"/>
              </w:numPr>
              <w:spacing w:before="0" w:after="0" w:line="240" w:lineRule="auto"/>
            </w:pPr>
            <w:r w:rsidRPr="001763AE">
              <w:t>To make more money available to the NFA for PA management</w:t>
            </w:r>
            <w:r w:rsidR="00363DE2">
              <w:t>.</w:t>
            </w:r>
          </w:p>
        </w:tc>
        <w:tc>
          <w:tcPr>
            <w:tcW w:w="2121" w:type="dxa"/>
          </w:tcPr>
          <w:p w:rsidR="00804319" w:rsidRPr="001763AE" w:rsidRDefault="00804319" w:rsidP="00ED1D7C">
            <w:pPr>
              <w:pStyle w:val="NumberedPara"/>
              <w:numPr>
                <w:ilvl w:val="0"/>
                <w:numId w:val="0"/>
              </w:numPr>
              <w:spacing w:before="0" w:after="0" w:line="240" w:lineRule="auto"/>
            </w:pPr>
            <w:r w:rsidRPr="001763AE">
              <w:t>No</w:t>
            </w:r>
            <w:r w:rsidR="00231BC4" w:rsidRPr="001763AE">
              <w:t>t</w:t>
            </w:r>
            <w:r w:rsidRPr="001763AE">
              <w:t xml:space="preserve"> approved</w:t>
            </w:r>
            <w:r w:rsidR="00363DE2">
              <w:t>.</w:t>
            </w:r>
          </w:p>
        </w:tc>
      </w:tr>
      <w:tr w:rsidR="00804319" w:rsidRPr="001763AE" w:rsidTr="007D4972">
        <w:tc>
          <w:tcPr>
            <w:tcW w:w="737" w:type="dxa"/>
          </w:tcPr>
          <w:p w:rsidR="00804319" w:rsidRPr="001763AE" w:rsidRDefault="00804319" w:rsidP="00ED1D7C">
            <w:pPr>
              <w:pStyle w:val="NumberedPara"/>
              <w:numPr>
                <w:ilvl w:val="0"/>
                <w:numId w:val="0"/>
              </w:numPr>
              <w:spacing w:before="0" w:after="0" w:line="240" w:lineRule="auto"/>
            </w:pPr>
          </w:p>
        </w:tc>
        <w:tc>
          <w:tcPr>
            <w:tcW w:w="3907" w:type="dxa"/>
          </w:tcPr>
          <w:p w:rsidR="00804319" w:rsidRPr="001763AE" w:rsidRDefault="003E7490" w:rsidP="00ED1D7C">
            <w:pPr>
              <w:pStyle w:val="NumberedPara"/>
              <w:numPr>
                <w:ilvl w:val="0"/>
                <w:numId w:val="0"/>
              </w:numPr>
              <w:spacing w:before="0" w:after="0" w:line="240" w:lineRule="auto"/>
            </w:pPr>
            <w:r w:rsidRPr="001763AE">
              <w:t>Modification of Article 30 of Law 49/2011 allowing 25% of the income generated by the PAs to go to the envisaged National Agency for Protected Areas (NAPA)</w:t>
            </w:r>
            <w:r w:rsidR="00363DE2">
              <w:t>.</w:t>
            </w:r>
          </w:p>
        </w:tc>
        <w:tc>
          <w:tcPr>
            <w:tcW w:w="3261" w:type="dxa"/>
          </w:tcPr>
          <w:p w:rsidR="00804319" w:rsidRPr="001763AE" w:rsidRDefault="003E7490" w:rsidP="00ED1D7C">
            <w:pPr>
              <w:pStyle w:val="NumberedPara"/>
              <w:numPr>
                <w:ilvl w:val="0"/>
                <w:numId w:val="0"/>
              </w:numPr>
              <w:spacing w:before="0" w:after="0" w:line="240" w:lineRule="auto"/>
            </w:pPr>
            <w:r w:rsidRPr="001763AE">
              <w:t>To generate funding for the NAPA</w:t>
            </w:r>
            <w:r w:rsidR="00363DE2">
              <w:t>.</w:t>
            </w:r>
          </w:p>
        </w:tc>
        <w:tc>
          <w:tcPr>
            <w:tcW w:w="2121" w:type="dxa"/>
          </w:tcPr>
          <w:p w:rsidR="00804319" w:rsidRPr="001763AE" w:rsidRDefault="00CC40AF" w:rsidP="00ED1D7C">
            <w:pPr>
              <w:pStyle w:val="NumberedPara"/>
              <w:numPr>
                <w:ilvl w:val="0"/>
                <w:numId w:val="0"/>
              </w:numPr>
              <w:spacing w:before="0" w:after="0" w:line="240" w:lineRule="auto"/>
            </w:pPr>
            <w:r w:rsidRPr="001763AE">
              <w:t>Not approved (</w:t>
            </w:r>
            <w:r w:rsidR="003E7490" w:rsidRPr="001763AE">
              <w:t>NAPA was never established</w:t>
            </w:r>
            <w:r w:rsidRPr="001763AE">
              <w:t>)</w:t>
            </w:r>
            <w:r w:rsidR="00363DE2">
              <w:t>.</w:t>
            </w:r>
            <w:r w:rsidR="003E7490" w:rsidRPr="001763AE">
              <w:t xml:space="preserve"> </w:t>
            </w:r>
          </w:p>
        </w:tc>
      </w:tr>
      <w:tr w:rsidR="00804319" w:rsidRPr="001763AE" w:rsidTr="007D4972">
        <w:tc>
          <w:tcPr>
            <w:tcW w:w="737" w:type="dxa"/>
          </w:tcPr>
          <w:p w:rsidR="00804319" w:rsidRPr="001763AE" w:rsidRDefault="00804319" w:rsidP="00ED1D7C">
            <w:pPr>
              <w:pStyle w:val="NumberedPara"/>
              <w:numPr>
                <w:ilvl w:val="0"/>
                <w:numId w:val="0"/>
              </w:numPr>
              <w:spacing w:before="0" w:after="0" w:line="240" w:lineRule="auto"/>
            </w:pPr>
          </w:p>
        </w:tc>
        <w:tc>
          <w:tcPr>
            <w:tcW w:w="3907" w:type="dxa"/>
          </w:tcPr>
          <w:p w:rsidR="00804319" w:rsidRPr="001763AE" w:rsidRDefault="003E7490" w:rsidP="00363DE2">
            <w:pPr>
              <w:pStyle w:val="NumberedPara"/>
              <w:numPr>
                <w:ilvl w:val="0"/>
                <w:numId w:val="0"/>
              </w:numPr>
              <w:spacing w:before="0" w:after="0" w:line="240" w:lineRule="auto"/>
            </w:pPr>
            <w:r w:rsidRPr="001763AE">
              <w:t xml:space="preserve">Formulation of Article </w:t>
            </w:r>
            <w:r w:rsidR="00E2271C" w:rsidRPr="001763AE">
              <w:t>18, which</w:t>
            </w:r>
            <w:r w:rsidRPr="001763AE">
              <w:t xml:space="preserve"> would have established the possibility for the MoEF/CC to co-manage PA administrations</w:t>
            </w:r>
            <w:r w:rsidR="00427F20" w:rsidRPr="001763AE">
              <w:t>.</w:t>
            </w:r>
          </w:p>
        </w:tc>
        <w:tc>
          <w:tcPr>
            <w:tcW w:w="3261" w:type="dxa"/>
          </w:tcPr>
          <w:p w:rsidR="00804319" w:rsidRPr="001763AE" w:rsidRDefault="003E7490" w:rsidP="00ED1D7C">
            <w:pPr>
              <w:pStyle w:val="NumberedPara"/>
              <w:numPr>
                <w:ilvl w:val="0"/>
                <w:numId w:val="0"/>
              </w:numPr>
              <w:spacing w:before="0" w:after="0" w:line="240" w:lineRule="auto"/>
            </w:pPr>
            <w:r w:rsidRPr="001763AE">
              <w:t>To enable the MoEF/CC to directly finance PAs a co-manager</w:t>
            </w:r>
            <w:r w:rsidR="00363DE2">
              <w:t>.</w:t>
            </w:r>
          </w:p>
        </w:tc>
        <w:tc>
          <w:tcPr>
            <w:tcW w:w="2121" w:type="dxa"/>
          </w:tcPr>
          <w:p w:rsidR="00804319" w:rsidRPr="001763AE" w:rsidRDefault="003E7490" w:rsidP="00ED1D7C">
            <w:pPr>
              <w:pStyle w:val="NumberedPara"/>
              <w:numPr>
                <w:ilvl w:val="0"/>
                <w:numId w:val="0"/>
              </w:numPr>
              <w:spacing w:before="0" w:after="0" w:line="240" w:lineRule="auto"/>
            </w:pPr>
            <w:r w:rsidRPr="001763AE">
              <w:t>Not approved</w:t>
            </w:r>
            <w:r w:rsidR="00363DE2">
              <w:t>.</w:t>
            </w:r>
          </w:p>
        </w:tc>
      </w:tr>
      <w:tr w:rsidR="00804319" w:rsidRPr="001763AE" w:rsidTr="007D4972">
        <w:tc>
          <w:tcPr>
            <w:tcW w:w="737" w:type="dxa"/>
          </w:tcPr>
          <w:p w:rsidR="00804319" w:rsidRPr="001763AE" w:rsidRDefault="00804319" w:rsidP="00ED1D7C">
            <w:pPr>
              <w:pStyle w:val="NumberedPara"/>
              <w:numPr>
                <w:ilvl w:val="0"/>
                <w:numId w:val="0"/>
              </w:numPr>
              <w:spacing w:before="0" w:after="0" w:line="240" w:lineRule="auto"/>
            </w:pPr>
          </w:p>
        </w:tc>
        <w:tc>
          <w:tcPr>
            <w:tcW w:w="3907" w:type="dxa"/>
          </w:tcPr>
          <w:p w:rsidR="00804319" w:rsidRPr="001763AE" w:rsidRDefault="003E7490" w:rsidP="001C6128">
            <w:pPr>
              <w:pStyle w:val="NumberedPara"/>
              <w:numPr>
                <w:ilvl w:val="0"/>
                <w:numId w:val="0"/>
              </w:numPr>
              <w:spacing w:before="0" w:after="0" w:line="240" w:lineRule="auto"/>
            </w:pPr>
            <w:r w:rsidRPr="001763AE">
              <w:t xml:space="preserve">Government Ordinance 120/2010 enabling </w:t>
            </w:r>
            <w:r w:rsidR="001C6128" w:rsidRPr="001763AE">
              <w:t>the MoEF/CC to pay the VAT on co</w:t>
            </w:r>
            <w:r w:rsidR="0097006D" w:rsidRPr="001763AE">
              <w:t>-</w:t>
            </w:r>
            <w:r w:rsidR="001C6128" w:rsidRPr="001763AE">
              <w:t xml:space="preserve">financing of </w:t>
            </w:r>
            <w:r w:rsidRPr="001763AE">
              <w:t xml:space="preserve">EU </w:t>
            </w:r>
            <w:r w:rsidR="00363DE2">
              <w:t>funded projects submitted by PA</w:t>
            </w:r>
            <w:r w:rsidR="00231BC4" w:rsidRPr="001763AE">
              <w:t xml:space="preserve"> administrations</w:t>
            </w:r>
            <w:r w:rsidR="00363DE2">
              <w:t>.</w:t>
            </w:r>
          </w:p>
        </w:tc>
        <w:tc>
          <w:tcPr>
            <w:tcW w:w="3261" w:type="dxa"/>
          </w:tcPr>
          <w:p w:rsidR="00804319" w:rsidRPr="001763AE" w:rsidRDefault="003E7490" w:rsidP="00ED1D7C">
            <w:pPr>
              <w:pStyle w:val="NumberedPara"/>
              <w:numPr>
                <w:ilvl w:val="0"/>
                <w:numId w:val="0"/>
              </w:numPr>
              <w:spacing w:before="0" w:after="0" w:line="240" w:lineRule="auto"/>
            </w:pPr>
            <w:r w:rsidRPr="001763AE">
              <w:t>To encourage and enable PA administrations to submit proposals and thereby mobilize resources for infrastructure and management</w:t>
            </w:r>
            <w:r w:rsidR="00363DE2">
              <w:t>.</w:t>
            </w:r>
          </w:p>
        </w:tc>
        <w:tc>
          <w:tcPr>
            <w:tcW w:w="2121" w:type="dxa"/>
          </w:tcPr>
          <w:p w:rsidR="00804319" w:rsidRPr="001763AE" w:rsidRDefault="003E7490" w:rsidP="00ED1D7C">
            <w:pPr>
              <w:pStyle w:val="NumberedPara"/>
              <w:numPr>
                <w:ilvl w:val="0"/>
                <w:numId w:val="0"/>
              </w:numPr>
              <w:spacing w:before="0" w:after="0" w:line="240" w:lineRule="auto"/>
            </w:pPr>
            <w:r w:rsidRPr="001763AE">
              <w:t>Approved</w:t>
            </w:r>
            <w:r w:rsidR="00363DE2">
              <w:t>.</w:t>
            </w:r>
          </w:p>
        </w:tc>
      </w:tr>
      <w:tr w:rsidR="00804319" w:rsidRPr="001763AE" w:rsidTr="007D4972">
        <w:tc>
          <w:tcPr>
            <w:tcW w:w="737" w:type="dxa"/>
          </w:tcPr>
          <w:p w:rsidR="00804319" w:rsidRPr="001763AE" w:rsidRDefault="00804319" w:rsidP="00ED1D7C">
            <w:pPr>
              <w:pStyle w:val="NumberedPara"/>
              <w:numPr>
                <w:ilvl w:val="0"/>
                <w:numId w:val="0"/>
              </w:numPr>
              <w:spacing w:before="0" w:after="0" w:line="240" w:lineRule="auto"/>
            </w:pPr>
          </w:p>
        </w:tc>
        <w:tc>
          <w:tcPr>
            <w:tcW w:w="3907" w:type="dxa"/>
          </w:tcPr>
          <w:p w:rsidR="00804319" w:rsidRPr="001763AE" w:rsidRDefault="003E7490" w:rsidP="00ED1D7C">
            <w:pPr>
              <w:pStyle w:val="NumberedPara"/>
              <w:numPr>
                <w:ilvl w:val="0"/>
                <w:numId w:val="0"/>
              </w:numPr>
              <w:spacing w:before="0" w:after="0" w:line="240" w:lineRule="auto"/>
            </w:pPr>
            <w:r w:rsidRPr="001763AE">
              <w:t>Government Ordinance allowing PA Administrations to be co-financed in Life + projects by the</w:t>
            </w:r>
            <w:r w:rsidR="006E16CE" w:rsidRPr="001763AE">
              <w:t xml:space="preserve"> </w:t>
            </w:r>
            <w:r w:rsidRPr="001763AE">
              <w:t>MoEF/CC</w:t>
            </w:r>
            <w:r w:rsidR="00363DE2">
              <w:t>.</w:t>
            </w:r>
          </w:p>
        </w:tc>
        <w:tc>
          <w:tcPr>
            <w:tcW w:w="3261" w:type="dxa"/>
          </w:tcPr>
          <w:p w:rsidR="00804319" w:rsidRPr="001763AE" w:rsidRDefault="007D4972" w:rsidP="00ED1D7C">
            <w:pPr>
              <w:pStyle w:val="NumberedPara"/>
              <w:numPr>
                <w:ilvl w:val="0"/>
                <w:numId w:val="0"/>
              </w:numPr>
              <w:spacing w:before="0" w:after="0" w:line="240" w:lineRule="auto"/>
            </w:pPr>
            <w:r w:rsidRPr="001763AE">
              <w:t>Enabling financing of PA related activities by the MoEF/CC</w:t>
            </w:r>
            <w:r w:rsidR="00363DE2">
              <w:t>.</w:t>
            </w:r>
          </w:p>
        </w:tc>
        <w:tc>
          <w:tcPr>
            <w:tcW w:w="2121" w:type="dxa"/>
          </w:tcPr>
          <w:p w:rsidR="00804319" w:rsidRPr="001763AE" w:rsidRDefault="003E7490" w:rsidP="00ED1D7C">
            <w:pPr>
              <w:pStyle w:val="NumberedPara"/>
              <w:numPr>
                <w:ilvl w:val="0"/>
                <w:numId w:val="0"/>
              </w:numPr>
              <w:spacing w:before="0" w:after="0" w:line="240" w:lineRule="auto"/>
            </w:pPr>
            <w:r w:rsidRPr="001763AE">
              <w:t>Approved</w:t>
            </w:r>
            <w:r w:rsidR="00363DE2">
              <w:t>.</w:t>
            </w:r>
          </w:p>
        </w:tc>
      </w:tr>
      <w:tr w:rsidR="007D4972" w:rsidRPr="001763AE" w:rsidTr="007D4972">
        <w:tc>
          <w:tcPr>
            <w:tcW w:w="737" w:type="dxa"/>
          </w:tcPr>
          <w:p w:rsidR="007D4972" w:rsidRPr="001763AE" w:rsidRDefault="007D4972" w:rsidP="00ED1D7C">
            <w:pPr>
              <w:pStyle w:val="NumberedPara"/>
              <w:numPr>
                <w:ilvl w:val="0"/>
                <w:numId w:val="0"/>
              </w:numPr>
              <w:spacing w:before="0" w:after="0" w:line="240" w:lineRule="auto"/>
            </w:pPr>
            <w:r w:rsidRPr="001763AE">
              <w:t>2012</w:t>
            </w:r>
          </w:p>
        </w:tc>
        <w:tc>
          <w:tcPr>
            <w:tcW w:w="3907" w:type="dxa"/>
          </w:tcPr>
          <w:p w:rsidR="007D4972" w:rsidRPr="001763AE" w:rsidRDefault="007D4972" w:rsidP="00ED1D7C">
            <w:pPr>
              <w:pStyle w:val="NumberedPara"/>
              <w:numPr>
                <w:ilvl w:val="0"/>
                <w:numId w:val="0"/>
              </w:numPr>
              <w:spacing w:before="0" w:after="0" w:line="240" w:lineRule="auto"/>
            </w:pPr>
            <w:r w:rsidRPr="001763AE">
              <w:t>Governmental Decision for the financing of PA Administrations (implementing art</w:t>
            </w:r>
            <w:r w:rsidR="006C3433" w:rsidRPr="001763AE">
              <w:t>.3</w:t>
            </w:r>
            <w:r w:rsidRPr="001763AE">
              <w:t>0 of Law no</w:t>
            </w:r>
            <w:r w:rsidR="006C3433" w:rsidRPr="001763AE">
              <w:t>.4</w:t>
            </w:r>
            <w:r w:rsidRPr="001763AE">
              <w:t>9/2011 concerning PA Administration)</w:t>
            </w:r>
            <w:r w:rsidR="00363DE2">
              <w:t>.</w:t>
            </w:r>
          </w:p>
        </w:tc>
        <w:tc>
          <w:tcPr>
            <w:tcW w:w="3261" w:type="dxa"/>
          </w:tcPr>
          <w:p w:rsidR="007D4972" w:rsidRPr="001763AE" w:rsidRDefault="007D4972" w:rsidP="00ED1D7C">
            <w:pPr>
              <w:pStyle w:val="NumberedPara"/>
              <w:numPr>
                <w:ilvl w:val="0"/>
                <w:numId w:val="0"/>
              </w:numPr>
              <w:spacing w:before="0" w:after="0" w:line="240" w:lineRule="auto"/>
            </w:pPr>
            <w:r w:rsidRPr="001763AE">
              <w:t>To enable direct financing of PAs</w:t>
            </w:r>
            <w:r w:rsidR="00363DE2">
              <w:t>.</w:t>
            </w:r>
          </w:p>
        </w:tc>
        <w:tc>
          <w:tcPr>
            <w:tcW w:w="2121" w:type="dxa"/>
          </w:tcPr>
          <w:p w:rsidR="007D4972" w:rsidRPr="001763AE" w:rsidRDefault="007D4972" w:rsidP="00ED1D7C">
            <w:pPr>
              <w:pStyle w:val="NumberedPara"/>
              <w:numPr>
                <w:ilvl w:val="0"/>
                <w:numId w:val="0"/>
              </w:numPr>
              <w:spacing w:before="0" w:after="0" w:line="240" w:lineRule="auto"/>
            </w:pPr>
            <w:r w:rsidRPr="001763AE">
              <w:t>Not approved</w:t>
            </w:r>
            <w:r w:rsidR="00363DE2">
              <w:t>.</w:t>
            </w:r>
          </w:p>
        </w:tc>
      </w:tr>
      <w:tr w:rsidR="007D4972" w:rsidRPr="001763AE" w:rsidTr="007D4972">
        <w:tc>
          <w:tcPr>
            <w:tcW w:w="737" w:type="dxa"/>
          </w:tcPr>
          <w:p w:rsidR="007D4972" w:rsidRPr="001763AE" w:rsidRDefault="007D4972" w:rsidP="00ED1D7C">
            <w:pPr>
              <w:pStyle w:val="NumberedPara"/>
              <w:numPr>
                <w:ilvl w:val="0"/>
                <w:numId w:val="0"/>
              </w:numPr>
              <w:spacing w:before="0" w:after="0" w:line="240" w:lineRule="auto"/>
            </w:pPr>
          </w:p>
        </w:tc>
        <w:tc>
          <w:tcPr>
            <w:tcW w:w="3907" w:type="dxa"/>
          </w:tcPr>
          <w:p w:rsidR="007D4972" w:rsidRPr="001763AE" w:rsidRDefault="00987259" w:rsidP="00987259">
            <w:pPr>
              <w:pStyle w:val="NumberedPara"/>
              <w:numPr>
                <w:ilvl w:val="0"/>
                <w:numId w:val="0"/>
              </w:numPr>
              <w:spacing w:before="0" w:after="0" w:line="240" w:lineRule="auto"/>
            </w:pPr>
            <w:r w:rsidRPr="001763AE">
              <w:t>Governmental Decision concerning the Sectoral Operational Programme for Environment (SOP</w:t>
            </w:r>
            <w:r w:rsidR="00E2271C" w:rsidRPr="001763AE">
              <w:t>) that</w:t>
            </w:r>
            <w:r w:rsidRPr="001763AE">
              <w:t xml:space="preserve"> would </w:t>
            </w:r>
            <w:r w:rsidR="00A530E0" w:rsidRPr="001763AE">
              <w:t xml:space="preserve">increase </w:t>
            </w:r>
            <w:r w:rsidRPr="001763AE">
              <w:t xml:space="preserve">the pre-financing proportion from 10% to 20% and decrease </w:t>
            </w:r>
            <w:r w:rsidR="00A530E0" w:rsidRPr="001763AE">
              <w:t>the discount rate from reimbursement tranches from 30% to 20%</w:t>
            </w:r>
            <w:r w:rsidR="00363DE2">
              <w:t>.</w:t>
            </w:r>
          </w:p>
        </w:tc>
        <w:tc>
          <w:tcPr>
            <w:tcW w:w="3261" w:type="dxa"/>
          </w:tcPr>
          <w:p w:rsidR="007D4972" w:rsidRPr="001763AE" w:rsidRDefault="00A530E0" w:rsidP="00ED1D7C">
            <w:pPr>
              <w:pStyle w:val="NumberedPara"/>
              <w:numPr>
                <w:ilvl w:val="0"/>
                <w:numId w:val="0"/>
              </w:numPr>
              <w:spacing w:before="0" w:after="0" w:line="240" w:lineRule="auto"/>
            </w:pPr>
            <w:r w:rsidRPr="001763AE">
              <w:t>Improved incentives for PA administrations to submit projects to be financed through SOP Environment, and consequently increased financing of biodiversity ma</w:t>
            </w:r>
            <w:r w:rsidR="00231BC4" w:rsidRPr="001763AE">
              <w:t>nagement and conservation work</w:t>
            </w:r>
            <w:r w:rsidR="00427F20" w:rsidRPr="001763AE">
              <w:t xml:space="preserve">. </w:t>
            </w:r>
          </w:p>
        </w:tc>
        <w:tc>
          <w:tcPr>
            <w:tcW w:w="2121" w:type="dxa"/>
          </w:tcPr>
          <w:p w:rsidR="007D4972" w:rsidRPr="001763AE" w:rsidRDefault="003A7820" w:rsidP="00ED1D7C">
            <w:pPr>
              <w:pStyle w:val="NumberedPara"/>
              <w:numPr>
                <w:ilvl w:val="0"/>
                <w:numId w:val="0"/>
              </w:numPr>
              <w:spacing w:before="0" w:after="0" w:line="240" w:lineRule="auto"/>
            </w:pPr>
            <w:r w:rsidRPr="001763AE">
              <w:t>Uncertain</w:t>
            </w:r>
            <w:r w:rsidR="00363DE2">
              <w:t>.</w:t>
            </w:r>
          </w:p>
        </w:tc>
      </w:tr>
      <w:tr w:rsidR="007D4972" w:rsidRPr="001763AE" w:rsidTr="007D4972">
        <w:tc>
          <w:tcPr>
            <w:tcW w:w="737" w:type="dxa"/>
          </w:tcPr>
          <w:p w:rsidR="007D4972" w:rsidRPr="001763AE" w:rsidRDefault="007D4972" w:rsidP="00ED1D7C">
            <w:pPr>
              <w:pStyle w:val="NumberedPara"/>
              <w:numPr>
                <w:ilvl w:val="0"/>
                <w:numId w:val="0"/>
              </w:numPr>
              <w:spacing w:before="0" w:after="0" w:line="240" w:lineRule="auto"/>
            </w:pPr>
          </w:p>
        </w:tc>
        <w:tc>
          <w:tcPr>
            <w:tcW w:w="3907" w:type="dxa"/>
          </w:tcPr>
          <w:p w:rsidR="007D4972" w:rsidRPr="001763AE" w:rsidRDefault="00A530E0" w:rsidP="00231BC4">
            <w:pPr>
              <w:pStyle w:val="NumberedPara"/>
              <w:numPr>
                <w:ilvl w:val="0"/>
                <w:numId w:val="0"/>
              </w:numPr>
              <w:spacing w:before="0" w:after="0" w:line="240" w:lineRule="auto"/>
            </w:pPr>
            <w:r w:rsidRPr="001763AE">
              <w:t xml:space="preserve">Normative act </w:t>
            </w:r>
            <w:r w:rsidR="006C26C2" w:rsidRPr="001763AE">
              <w:t xml:space="preserve">to enable </w:t>
            </w:r>
            <w:r w:rsidRPr="001763AE">
              <w:t xml:space="preserve">the </w:t>
            </w:r>
            <w:r w:rsidR="006C26C2" w:rsidRPr="001763AE">
              <w:t xml:space="preserve">National </w:t>
            </w:r>
            <w:r w:rsidRPr="001763AE">
              <w:t xml:space="preserve">Environment Fund </w:t>
            </w:r>
            <w:r w:rsidR="006C26C2" w:rsidRPr="001763AE">
              <w:t>to</w:t>
            </w:r>
            <w:r w:rsidRPr="001763AE">
              <w:t xml:space="preserve"> </w:t>
            </w:r>
            <w:r w:rsidR="006C26C2" w:rsidRPr="001763AE">
              <w:t xml:space="preserve">benefit from </w:t>
            </w:r>
            <w:r w:rsidRPr="001763AE">
              <w:t xml:space="preserve">national </w:t>
            </w:r>
            <w:r w:rsidR="00231BC4" w:rsidRPr="001763AE">
              <w:t>PES/EC</w:t>
            </w:r>
            <w:r w:rsidR="006C26C2" w:rsidRPr="001763AE">
              <w:t xml:space="preserve"> mechanisms in the fields of</w:t>
            </w:r>
            <w:r w:rsidR="006E16CE" w:rsidRPr="001763AE">
              <w:t xml:space="preserve"> </w:t>
            </w:r>
            <w:r w:rsidRPr="001763AE">
              <w:t xml:space="preserve">tourism, bottling water and </w:t>
            </w:r>
            <w:r w:rsidR="006C26C2" w:rsidRPr="001763AE">
              <w:t xml:space="preserve">the </w:t>
            </w:r>
            <w:r w:rsidRPr="001763AE">
              <w:t>residual impact of mineral resource exploitation</w:t>
            </w:r>
            <w:r w:rsidR="00427F20" w:rsidRPr="001763AE">
              <w:t xml:space="preserve">. </w:t>
            </w:r>
          </w:p>
        </w:tc>
        <w:tc>
          <w:tcPr>
            <w:tcW w:w="3261" w:type="dxa"/>
          </w:tcPr>
          <w:p w:rsidR="007D4972" w:rsidRPr="001763AE" w:rsidRDefault="00E2271C" w:rsidP="00ED1D7C">
            <w:pPr>
              <w:pStyle w:val="NumberedPara"/>
              <w:numPr>
                <w:ilvl w:val="0"/>
                <w:numId w:val="0"/>
              </w:numPr>
              <w:spacing w:before="0" w:after="0" w:line="240" w:lineRule="auto"/>
            </w:pPr>
            <w:r w:rsidRPr="001763AE">
              <w:t xml:space="preserve">To generate funds for the National Environment Fund </w:t>
            </w:r>
            <w:r>
              <w:t>that</w:t>
            </w:r>
            <w:r w:rsidRPr="001763AE">
              <w:t xml:space="preserve"> could be used to finance conservation and protected areas and offset the proposed reductions i</w:t>
            </w:r>
            <w:r w:rsidR="00363DE2">
              <w:t>n the 2% levy on forest owners.</w:t>
            </w:r>
          </w:p>
        </w:tc>
        <w:tc>
          <w:tcPr>
            <w:tcW w:w="2121" w:type="dxa"/>
          </w:tcPr>
          <w:p w:rsidR="007D4972" w:rsidRPr="001763AE" w:rsidRDefault="006C26C2" w:rsidP="00ED1D7C">
            <w:pPr>
              <w:pStyle w:val="NumberedPara"/>
              <w:numPr>
                <w:ilvl w:val="0"/>
                <w:numId w:val="0"/>
              </w:numPr>
              <w:spacing w:before="0" w:after="0" w:line="240" w:lineRule="auto"/>
            </w:pPr>
            <w:r w:rsidRPr="001763AE">
              <w:t>Not approved</w:t>
            </w:r>
            <w:r w:rsidR="00363DE2">
              <w:t>.</w:t>
            </w:r>
          </w:p>
        </w:tc>
      </w:tr>
      <w:tr w:rsidR="007D4972" w:rsidRPr="001763AE" w:rsidTr="007D4972">
        <w:tc>
          <w:tcPr>
            <w:tcW w:w="737" w:type="dxa"/>
          </w:tcPr>
          <w:p w:rsidR="007D4972" w:rsidRPr="001763AE" w:rsidRDefault="007D4972" w:rsidP="00ED1D7C">
            <w:pPr>
              <w:pStyle w:val="NumberedPara"/>
              <w:numPr>
                <w:ilvl w:val="0"/>
                <w:numId w:val="0"/>
              </w:numPr>
              <w:spacing w:before="0" w:after="0" w:line="240" w:lineRule="auto"/>
            </w:pPr>
          </w:p>
        </w:tc>
        <w:tc>
          <w:tcPr>
            <w:tcW w:w="3907" w:type="dxa"/>
          </w:tcPr>
          <w:p w:rsidR="007D4972" w:rsidRPr="001763AE" w:rsidRDefault="00365D1B" w:rsidP="004A3EB0">
            <w:pPr>
              <w:pStyle w:val="NumberedPara"/>
              <w:numPr>
                <w:ilvl w:val="0"/>
                <w:numId w:val="0"/>
              </w:numPr>
              <w:spacing w:before="0" w:after="0" w:line="240" w:lineRule="auto"/>
            </w:pPr>
            <w:r w:rsidRPr="001763AE">
              <w:t xml:space="preserve">Enabling creation in the 2013 State budget of </w:t>
            </w:r>
            <w:r w:rsidR="004A3EB0" w:rsidRPr="001763AE">
              <w:t>a separate budget category for</w:t>
            </w:r>
            <w:r w:rsidRPr="001763AE">
              <w:t xml:space="preserve"> the expenses necessary for biodiversity conservation </w:t>
            </w:r>
            <w:r w:rsidR="004A3EB0" w:rsidRPr="001763AE">
              <w:t>and PA management</w:t>
            </w:r>
            <w:r w:rsidR="00363DE2">
              <w:t>.</w:t>
            </w:r>
          </w:p>
        </w:tc>
        <w:tc>
          <w:tcPr>
            <w:tcW w:w="3261" w:type="dxa"/>
          </w:tcPr>
          <w:p w:rsidR="007D4972" w:rsidRPr="001763AE" w:rsidRDefault="00365D1B" w:rsidP="004A3EB0">
            <w:pPr>
              <w:pStyle w:val="NumberedPara"/>
              <w:numPr>
                <w:ilvl w:val="0"/>
                <w:numId w:val="0"/>
              </w:numPr>
              <w:spacing w:before="0" w:after="0" w:line="240" w:lineRule="auto"/>
            </w:pPr>
            <w:r w:rsidRPr="001763AE">
              <w:t xml:space="preserve">To enable direct cash transfers, and </w:t>
            </w:r>
            <w:r w:rsidR="004A3EB0" w:rsidRPr="001763AE">
              <w:t xml:space="preserve">enable </w:t>
            </w:r>
            <w:r w:rsidRPr="001763AE">
              <w:t xml:space="preserve">the central public authority </w:t>
            </w:r>
            <w:r w:rsidR="004A3EB0" w:rsidRPr="001763AE">
              <w:t xml:space="preserve">for the environment </w:t>
            </w:r>
            <w:r w:rsidRPr="001763AE">
              <w:t>to meet its legal obligations to fund biodivers</w:t>
            </w:r>
            <w:r w:rsidR="004A3EB0" w:rsidRPr="001763AE">
              <w:t>ity conservation</w:t>
            </w:r>
            <w:r w:rsidR="00363DE2">
              <w:t>.</w:t>
            </w:r>
          </w:p>
        </w:tc>
        <w:tc>
          <w:tcPr>
            <w:tcW w:w="2121" w:type="dxa"/>
          </w:tcPr>
          <w:p w:rsidR="007D4972" w:rsidRPr="001763AE" w:rsidRDefault="00350C75" w:rsidP="00ED1D7C">
            <w:pPr>
              <w:pStyle w:val="NumberedPara"/>
              <w:numPr>
                <w:ilvl w:val="0"/>
                <w:numId w:val="0"/>
              </w:numPr>
              <w:spacing w:before="0" w:after="0" w:line="240" w:lineRule="auto"/>
            </w:pPr>
            <w:r w:rsidRPr="001763AE">
              <w:t>Not approved</w:t>
            </w:r>
            <w:r w:rsidR="00363DE2">
              <w:t>.</w:t>
            </w:r>
          </w:p>
        </w:tc>
      </w:tr>
      <w:tr w:rsidR="00365D1B" w:rsidRPr="001763AE" w:rsidTr="007D4972">
        <w:tc>
          <w:tcPr>
            <w:tcW w:w="737" w:type="dxa"/>
          </w:tcPr>
          <w:p w:rsidR="00365D1B" w:rsidRPr="001763AE" w:rsidRDefault="00365D1B" w:rsidP="00ED1D7C">
            <w:pPr>
              <w:pStyle w:val="NumberedPara"/>
              <w:numPr>
                <w:ilvl w:val="0"/>
                <w:numId w:val="0"/>
              </w:numPr>
              <w:spacing w:before="0" w:after="0" w:line="240" w:lineRule="auto"/>
            </w:pPr>
            <w:r w:rsidRPr="001763AE">
              <w:t>2013</w:t>
            </w:r>
          </w:p>
        </w:tc>
        <w:tc>
          <w:tcPr>
            <w:tcW w:w="3907" w:type="dxa"/>
          </w:tcPr>
          <w:p w:rsidR="00365D1B" w:rsidRPr="001763AE" w:rsidRDefault="00BB7835" w:rsidP="00BB7835">
            <w:pPr>
              <w:pStyle w:val="NumberedPara"/>
              <w:numPr>
                <w:ilvl w:val="0"/>
                <w:numId w:val="0"/>
              </w:numPr>
              <w:spacing w:before="0" w:after="0" w:line="240" w:lineRule="auto"/>
            </w:pPr>
            <w:r w:rsidRPr="001763AE">
              <w:t>Making</w:t>
            </w:r>
            <w:r w:rsidR="00365D1B" w:rsidRPr="001763AE">
              <w:t xml:space="preserve"> sponsorship of </w:t>
            </w:r>
            <w:r w:rsidRPr="001763AE">
              <w:t>protected areas by businesses and individuals tax deductible</w:t>
            </w:r>
            <w:r w:rsidR="00363DE2">
              <w:t>.</w:t>
            </w:r>
          </w:p>
        </w:tc>
        <w:tc>
          <w:tcPr>
            <w:tcW w:w="3261" w:type="dxa"/>
          </w:tcPr>
          <w:p w:rsidR="00365D1B" w:rsidRPr="001763AE" w:rsidRDefault="00365D1B" w:rsidP="00ED1D7C">
            <w:pPr>
              <w:pStyle w:val="NumberedPara"/>
              <w:numPr>
                <w:ilvl w:val="0"/>
                <w:numId w:val="0"/>
              </w:numPr>
              <w:spacing w:before="0" w:after="0" w:line="240" w:lineRule="auto"/>
            </w:pPr>
            <w:r w:rsidRPr="001763AE">
              <w:t>To encourage donations and private and corporate philanthropy</w:t>
            </w:r>
            <w:r w:rsidR="00363DE2">
              <w:t>.</w:t>
            </w:r>
          </w:p>
        </w:tc>
        <w:tc>
          <w:tcPr>
            <w:tcW w:w="2121" w:type="dxa"/>
          </w:tcPr>
          <w:p w:rsidR="00365D1B" w:rsidRPr="001763AE" w:rsidRDefault="00365D1B" w:rsidP="00ED1D7C">
            <w:pPr>
              <w:pStyle w:val="NumberedPara"/>
              <w:numPr>
                <w:ilvl w:val="0"/>
                <w:numId w:val="0"/>
              </w:numPr>
              <w:spacing w:before="0" w:after="0" w:line="240" w:lineRule="auto"/>
            </w:pPr>
            <w:r w:rsidRPr="001763AE">
              <w:t>Not approved</w:t>
            </w:r>
            <w:r w:rsidR="00363DE2">
              <w:t>.</w:t>
            </w:r>
          </w:p>
        </w:tc>
      </w:tr>
      <w:tr w:rsidR="009006D2" w:rsidRPr="001763AE" w:rsidTr="007D4972">
        <w:tc>
          <w:tcPr>
            <w:tcW w:w="737" w:type="dxa"/>
          </w:tcPr>
          <w:p w:rsidR="009006D2" w:rsidRPr="001763AE" w:rsidRDefault="009006D2" w:rsidP="00ED1D7C">
            <w:pPr>
              <w:pStyle w:val="NumberedPara"/>
              <w:numPr>
                <w:ilvl w:val="0"/>
                <w:numId w:val="0"/>
              </w:numPr>
              <w:spacing w:before="0" w:after="0" w:line="240" w:lineRule="auto"/>
            </w:pPr>
          </w:p>
        </w:tc>
        <w:tc>
          <w:tcPr>
            <w:tcW w:w="3907" w:type="dxa"/>
          </w:tcPr>
          <w:p w:rsidR="009006D2" w:rsidRPr="001763AE" w:rsidRDefault="009006D2" w:rsidP="001C6128">
            <w:pPr>
              <w:pStyle w:val="NumberedPara"/>
              <w:numPr>
                <w:ilvl w:val="0"/>
                <w:numId w:val="0"/>
              </w:numPr>
              <w:spacing w:before="0" w:after="0" w:line="240" w:lineRule="auto"/>
            </w:pPr>
            <w:r w:rsidRPr="001763AE">
              <w:t xml:space="preserve">Amendment of the Forestry Code to introduce a </w:t>
            </w:r>
            <w:r w:rsidR="001C6128" w:rsidRPr="001763AE">
              <w:t xml:space="preserve">water based </w:t>
            </w:r>
            <w:r w:rsidRPr="001763AE">
              <w:t>PES</w:t>
            </w:r>
            <w:r w:rsidR="001C6128" w:rsidRPr="001763AE">
              <w:t>/EC</w:t>
            </w:r>
            <w:r w:rsidRPr="001763AE">
              <w:t xml:space="preserve"> scheme </w:t>
            </w:r>
            <w:r w:rsidR="00DE0FE5" w:rsidRPr="001763AE">
              <w:t>based on the beneficiary pays principle</w:t>
            </w:r>
            <w:r w:rsidR="00427F20" w:rsidRPr="001763AE">
              <w:t xml:space="preserve">. </w:t>
            </w:r>
            <w:r w:rsidR="00DE0FE5" w:rsidRPr="001763AE">
              <w:t>Income would be used to provide income for the Agro forestry and Land Use Fund (managed by the forestry department of</w:t>
            </w:r>
            <w:r w:rsidR="00BB7835" w:rsidRPr="001763AE">
              <w:t xml:space="preserve"> the Ministry of Environment)</w:t>
            </w:r>
            <w:r w:rsidR="00363DE2">
              <w:t>.</w:t>
            </w:r>
          </w:p>
        </w:tc>
        <w:tc>
          <w:tcPr>
            <w:tcW w:w="3261" w:type="dxa"/>
          </w:tcPr>
          <w:p w:rsidR="009006D2" w:rsidRPr="001763AE" w:rsidRDefault="00DE0FE5" w:rsidP="00ED1D7C">
            <w:pPr>
              <w:pStyle w:val="NumberedPara"/>
              <w:numPr>
                <w:ilvl w:val="0"/>
                <w:numId w:val="0"/>
              </w:numPr>
              <w:spacing w:before="0" w:after="0" w:line="240" w:lineRule="auto"/>
            </w:pPr>
            <w:r w:rsidRPr="001763AE">
              <w:t>To provide resources to compensate private forest owners whose activities are restricted</w:t>
            </w:r>
            <w:r w:rsidR="00363DE2">
              <w:t>.</w:t>
            </w:r>
          </w:p>
        </w:tc>
        <w:tc>
          <w:tcPr>
            <w:tcW w:w="2121" w:type="dxa"/>
          </w:tcPr>
          <w:p w:rsidR="009006D2" w:rsidRPr="001763AE" w:rsidRDefault="009A5BD5" w:rsidP="00ED1D7C">
            <w:pPr>
              <w:pStyle w:val="NumberedPara"/>
              <w:numPr>
                <w:ilvl w:val="0"/>
                <w:numId w:val="0"/>
              </w:numPr>
              <w:spacing w:before="0" w:after="0" w:line="240" w:lineRule="auto"/>
            </w:pPr>
            <w:r w:rsidRPr="001763AE">
              <w:t>Not yet approved</w:t>
            </w:r>
            <w:r w:rsidR="00363DE2">
              <w:t>.</w:t>
            </w:r>
          </w:p>
        </w:tc>
      </w:tr>
    </w:tbl>
    <w:p w:rsidR="00427F20" w:rsidRPr="001763AE" w:rsidRDefault="001C04B9" w:rsidP="00DB28F8">
      <w:pPr>
        <w:pStyle w:val="NumberedPara"/>
        <w:numPr>
          <w:ilvl w:val="0"/>
          <w:numId w:val="0"/>
        </w:numPr>
      </w:pPr>
      <w:r w:rsidRPr="001763AE">
        <w:t>The major successes under this outcome relate to changes in legislation enabling co-financing and VAT support from the MoECC for SOP projects in the protected areas</w:t>
      </w:r>
      <w:r w:rsidR="00427F20" w:rsidRPr="001763AE">
        <w:t xml:space="preserve">. </w:t>
      </w:r>
      <w:r w:rsidR="00526DC5" w:rsidRPr="001763AE">
        <w:t>This achievement is further discussed in the evaluation of Output 1</w:t>
      </w:r>
      <w:r w:rsidR="006C3433" w:rsidRPr="001763AE">
        <w:t>.3</w:t>
      </w:r>
      <w:r w:rsidR="00427F20" w:rsidRPr="001763AE">
        <w:t>.</w:t>
      </w:r>
    </w:p>
    <w:p w:rsidR="00B34371" w:rsidRPr="001763AE" w:rsidRDefault="00F60012" w:rsidP="00DB28F8">
      <w:pPr>
        <w:pStyle w:val="NumberedPara"/>
        <w:numPr>
          <w:ilvl w:val="0"/>
          <w:numId w:val="0"/>
        </w:numPr>
      </w:pPr>
      <w:r w:rsidRPr="001763AE">
        <w:t>The mo</w:t>
      </w:r>
      <w:r w:rsidR="001C04B9" w:rsidRPr="001763AE">
        <w:t>st common reason given for why so many</w:t>
      </w:r>
      <w:r w:rsidRPr="001763AE">
        <w:t xml:space="preserve"> </w:t>
      </w:r>
      <w:r w:rsidR="00C718C1" w:rsidRPr="001763AE">
        <w:t>changes in legislation were not approved</w:t>
      </w:r>
      <w:r w:rsidRPr="001763AE">
        <w:t xml:space="preserve"> was ‘</w:t>
      </w:r>
      <w:r w:rsidRPr="001763AE">
        <w:rPr>
          <w:i/>
        </w:rPr>
        <w:t>lack of political will’</w:t>
      </w:r>
      <w:r w:rsidR="00427F20" w:rsidRPr="001763AE">
        <w:t xml:space="preserve">. </w:t>
      </w:r>
      <w:r w:rsidRPr="001763AE">
        <w:t xml:space="preserve">When the issue was examined in more depth, the main explanations given </w:t>
      </w:r>
      <w:r w:rsidR="00C718C1" w:rsidRPr="001763AE">
        <w:t>relate</w:t>
      </w:r>
      <w:r w:rsidRPr="001763AE">
        <w:t>d</w:t>
      </w:r>
      <w:r w:rsidR="00C718C1" w:rsidRPr="001763AE">
        <w:t xml:space="preserve"> to the financial crisis in Romania, the weak capacity and limited influence of the MoECC, and the limited lobbying ability of the NFA</w:t>
      </w:r>
      <w:r w:rsidR="00427F20" w:rsidRPr="001763AE">
        <w:t xml:space="preserve">. </w:t>
      </w:r>
    </w:p>
    <w:p w:rsidR="0025256D" w:rsidRDefault="00F60012" w:rsidP="00DB28F8">
      <w:pPr>
        <w:pStyle w:val="NumberedPara"/>
        <w:numPr>
          <w:ilvl w:val="0"/>
          <w:numId w:val="0"/>
        </w:numPr>
      </w:pPr>
      <w:r w:rsidRPr="001763AE">
        <w:t xml:space="preserve">Most respondents considered that, </w:t>
      </w:r>
      <w:r w:rsidR="004B09E3">
        <w:t>without more focused support from the MoECC,</w:t>
      </w:r>
      <w:r w:rsidRPr="001763AE">
        <w:t xml:space="preserve"> there was not much more the project could have done to change th</w:t>
      </w:r>
      <w:r w:rsidR="003F53C7" w:rsidRPr="001763AE">
        <w:t>e situation</w:t>
      </w:r>
      <w:r w:rsidR="00427F20" w:rsidRPr="001763AE">
        <w:t xml:space="preserve">. </w:t>
      </w:r>
      <w:r w:rsidR="003F53C7" w:rsidRPr="001763AE">
        <w:t>However, one specific issue</w:t>
      </w:r>
      <w:r w:rsidR="00DD3BB3" w:rsidRPr="001763AE">
        <w:t xml:space="preserve"> was</w:t>
      </w:r>
      <w:r w:rsidRPr="001763AE">
        <w:t xml:space="preserve"> mentioned</w:t>
      </w:r>
      <w:r w:rsidR="00427F20" w:rsidRPr="001763AE">
        <w:t xml:space="preserve">. </w:t>
      </w:r>
      <w:r w:rsidR="00231BC4" w:rsidRPr="001763AE">
        <w:t>The proposal for a blanket 2% levy on tourism enterprises to be paid to t</w:t>
      </w:r>
      <w:r w:rsidR="003F53C7" w:rsidRPr="001763AE">
        <w:t xml:space="preserve">he National Environment Fund </w:t>
      </w:r>
      <w:r w:rsidR="001E2AA1" w:rsidRPr="001763AE">
        <w:t>(</w:t>
      </w:r>
      <w:r w:rsidR="00E816EB" w:rsidRPr="001763AE">
        <w:t>as part of n</w:t>
      </w:r>
      <w:r w:rsidR="00B55AEC" w:rsidRPr="001763AE">
        <w:t xml:space="preserve">ormative act to enable the National Environment Fund to benefit from national PES/EC mechanisms) </w:t>
      </w:r>
      <w:r w:rsidR="003F53C7" w:rsidRPr="001763AE">
        <w:t>was</w:t>
      </w:r>
      <w:r w:rsidR="00231BC4" w:rsidRPr="001763AE">
        <w:t xml:space="preserve"> strongly opposed by tourism authorities and the tourism sector</w:t>
      </w:r>
      <w:r w:rsidR="00DD3BB3" w:rsidRPr="001763AE">
        <w:t>, attracted media criticism and undermined the chances of adoption of the proposed normative act</w:t>
      </w:r>
      <w:r w:rsidR="00427F20" w:rsidRPr="001763AE">
        <w:t xml:space="preserve">. </w:t>
      </w:r>
      <w:r w:rsidR="00DD3BB3" w:rsidRPr="001763AE">
        <w:t xml:space="preserve">The </w:t>
      </w:r>
      <w:r w:rsidR="004B09E3">
        <w:t>PMU</w:t>
      </w:r>
      <w:r w:rsidR="00DD3BB3" w:rsidRPr="001763AE">
        <w:t xml:space="preserve"> is adamant that negotiations and discussions did take place with the tourism sector on this issue, and </w:t>
      </w:r>
      <w:r w:rsidR="00B55AEC" w:rsidRPr="001763AE">
        <w:t xml:space="preserve">they </w:t>
      </w:r>
      <w:r w:rsidR="00DD3BB3" w:rsidRPr="001763AE">
        <w:t>were surprised by the opposition to the measure</w:t>
      </w:r>
      <w:r w:rsidR="00B55AEC" w:rsidRPr="001763AE">
        <w:t xml:space="preserve"> when it was published</w:t>
      </w:r>
      <w:r w:rsidR="00427F20" w:rsidRPr="001763AE">
        <w:t xml:space="preserve">. </w:t>
      </w:r>
      <w:r w:rsidR="003F53C7" w:rsidRPr="001763AE">
        <w:t>The tourism sector is reportedly not opposed to supporting protected areas, but much prefers direct payment by tourists (e</w:t>
      </w:r>
      <w:r w:rsidR="003A7820" w:rsidRPr="001763AE">
        <w:t>.</w:t>
      </w:r>
      <w:r w:rsidR="003F53C7" w:rsidRPr="001763AE">
        <w:t>g</w:t>
      </w:r>
      <w:r w:rsidR="00427F20" w:rsidRPr="001763AE">
        <w:t xml:space="preserve">. </w:t>
      </w:r>
      <w:r w:rsidR="003F53C7" w:rsidRPr="001763AE">
        <w:t>through a bed tax</w:t>
      </w:r>
      <w:r w:rsidR="00610460" w:rsidRPr="001763AE">
        <w:t xml:space="preserve"> collected by hotels</w:t>
      </w:r>
      <w:r w:rsidR="00363DE2">
        <w:t>)</w:t>
      </w:r>
      <w:r w:rsidR="003F53C7" w:rsidRPr="001763AE">
        <w:t xml:space="preserve"> to blanket taxation of </w:t>
      </w:r>
      <w:r w:rsidR="00610460" w:rsidRPr="001763AE">
        <w:t xml:space="preserve">tourism </w:t>
      </w:r>
      <w:r w:rsidR="003F53C7" w:rsidRPr="001763AE">
        <w:t>enterprises</w:t>
      </w:r>
      <w:r w:rsidR="001E2AA1" w:rsidRPr="001763AE">
        <w:t>. It is not clear why this approach was not raised</w:t>
      </w:r>
      <w:r w:rsidR="00B34371" w:rsidRPr="001763AE">
        <w:t xml:space="preserve"> or identified</w:t>
      </w:r>
      <w:r w:rsidR="001E2AA1" w:rsidRPr="001763AE">
        <w:t xml:space="preserve"> earlier, but </w:t>
      </w:r>
      <w:r w:rsidR="00B34371" w:rsidRPr="001763AE">
        <w:t xml:space="preserve">bed taxes are widely used elsewhere and </w:t>
      </w:r>
      <w:r w:rsidR="001E2AA1" w:rsidRPr="001763AE">
        <w:t xml:space="preserve">had </w:t>
      </w:r>
      <w:r w:rsidR="003F53C7" w:rsidRPr="001763AE">
        <w:t>this alternative</w:t>
      </w:r>
      <w:r w:rsidR="001E2AA1" w:rsidRPr="001763AE">
        <w:t xml:space="preserve"> been</w:t>
      </w:r>
      <w:r w:rsidR="003F53C7" w:rsidRPr="001763AE">
        <w:t xml:space="preserve"> </w:t>
      </w:r>
      <w:r w:rsidR="00610460" w:rsidRPr="001763AE">
        <w:t xml:space="preserve">identified and </w:t>
      </w:r>
      <w:r w:rsidR="003F53C7" w:rsidRPr="001763AE">
        <w:t>explored</w:t>
      </w:r>
      <w:r w:rsidR="00610460" w:rsidRPr="001763AE">
        <w:t xml:space="preserve"> earlier</w:t>
      </w:r>
      <w:r w:rsidR="003F53C7" w:rsidRPr="001763AE">
        <w:t xml:space="preserve">, </w:t>
      </w:r>
      <w:r w:rsidR="00B34371" w:rsidRPr="001763AE">
        <w:t xml:space="preserve">an important source </w:t>
      </w:r>
      <w:r w:rsidR="003F53C7" w:rsidRPr="001763AE">
        <w:t>of rev</w:t>
      </w:r>
      <w:r w:rsidR="00B34371" w:rsidRPr="001763AE">
        <w:t xml:space="preserve">enue generation for protected areas might </w:t>
      </w:r>
      <w:r w:rsidR="003F53C7" w:rsidRPr="001763AE">
        <w:t>have been established</w:t>
      </w:r>
      <w:r w:rsidR="001E2AA1" w:rsidRPr="001763AE">
        <w:t xml:space="preserve"> with sector support</w:t>
      </w:r>
      <w:r w:rsidR="00427F20" w:rsidRPr="001763AE">
        <w:t>.</w:t>
      </w:r>
    </w:p>
    <w:p w:rsidR="00BE47DE" w:rsidRPr="001763AE" w:rsidRDefault="003F53C7" w:rsidP="00DB28F8">
      <w:pPr>
        <w:pStyle w:val="NumberedPara"/>
        <w:numPr>
          <w:ilvl w:val="0"/>
          <w:numId w:val="0"/>
        </w:numPr>
      </w:pPr>
      <w:r w:rsidRPr="001763AE">
        <w:t xml:space="preserve">More generally, the </w:t>
      </w:r>
      <w:r w:rsidR="00610460" w:rsidRPr="001763AE">
        <w:t>concept</w:t>
      </w:r>
      <w:r w:rsidRPr="001763AE">
        <w:t xml:space="preserve"> of PES</w:t>
      </w:r>
      <w:r w:rsidR="00610460" w:rsidRPr="001763AE">
        <w:t xml:space="preserve"> and many of the mechanisms proposed are quite new in Romania, and their adoption and acceptance required a major change in thinking</w:t>
      </w:r>
      <w:r w:rsidR="00B55AEC" w:rsidRPr="001763AE">
        <w:t>,</w:t>
      </w:r>
      <w:r w:rsidR="00610460" w:rsidRPr="001763AE">
        <w:t xml:space="preserve"> both at the government level and among stakeholders</w:t>
      </w:r>
      <w:r w:rsidR="00427F20" w:rsidRPr="001763AE">
        <w:t xml:space="preserve">. </w:t>
      </w:r>
      <w:r w:rsidR="004B1F41" w:rsidRPr="001763AE">
        <w:t>As one respondent said ‘</w:t>
      </w:r>
      <w:r w:rsidR="004B1F41" w:rsidRPr="001763AE">
        <w:rPr>
          <w:i/>
        </w:rPr>
        <w:t>we are not yet ready for this approach’</w:t>
      </w:r>
      <w:r w:rsidR="00427F20" w:rsidRPr="001763AE">
        <w:t xml:space="preserve">. </w:t>
      </w:r>
      <w:r w:rsidR="007D7D7E" w:rsidRPr="001763AE">
        <w:t xml:space="preserve">The project used internationally accepted methods to </w:t>
      </w:r>
      <w:r w:rsidR="00645B43" w:rsidRPr="001763AE">
        <w:t>quantitavely</w:t>
      </w:r>
      <w:r w:rsidR="007D7D7E" w:rsidRPr="001763AE">
        <w:t xml:space="preserve"> value environmental services in Romania and </w:t>
      </w:r>
      <w:r w:rsidR="00645B43" w:rsidRPr="001763AE">
        <w:t xml:space="preserve">estimate </w:t>
      </w:r>
      <w:r w:rsidR="007D7D7E" w:rsidRPr="001763AE">
        <w:t>the potential income that could be derived from various payment systems</w:t>
      </w:r>
      <w:r w:rsidR="00B55AEC" w:rsidRPr="001763AE">
        <w:t xml:space="preserve"> (see Output 1</w:t>
      </w:r>
      <w:r w:rsidR="007C63A9" w:rsidRPr="001763AE">
        <w:t>.2</w:t>
      </w:r>
      <w:r w:rsidR="00363DE2">
        <w:t xml:space="preserve"> below). However, </w:t>
      </w:r>
      <w:r w:rsidR="007D7D7E" w:rsidRPr="001763AE">
        <w:t>w</w:t>
      </w:r>
      <w:r w:rsidR="00610460" w:rsidRPr="001763AE">
        <w:t>hen</w:t>
      </w:r>
      <w:r w:rsidR="002F69B3" w:rsidRPr="001763AE">
        <w:t xml:space="preserve"> the cost of environmental services has been discounted for so long, introduction of payment mechanisms is understood by many to be just a new form of state taxation and is therefore unpopular politically and publicly</w:t>
      </w:r>
      <w:r w:rsidR="00427F20" w:rsidRPr="001763AE">
        <w:t xml:space="preserve">. </w:t>
      </w:r>
      <w:r w:rsidR="00E816EB" w:rsidRPr="001763AE">
        <w:t xml:space="preserve">This resistance is amplified when stakeholders do not see direct benefits resulting from their payments. </w:t>
      </w:r>
      <w:r w:rsidR="00645B43" w:rsidRPr="001763AE">
        <w:t>S</w:t>
      </w:r>
      <w:r w:rsidR="007D7D7E" w:rsidRPr="001763AE">
        <w:t>ome respondents considered the aggregated figures produced to be un</w:t>
      </w:r>
      <w:r w:rsidR="00645B43" w:rsidRPr="001763AE">
        <w:t>feasibly</w:t>
      </w:r>
      <w:r w:rsidR="007D7D7E" w:rsidRPr="001763AE">
        <w:t xml:space="preserve"> high</w:t>
      </w:r>
      <w:r w:rsidR="00645B43" w:rsidRPr="001763AE">
        <w:t xml:space="preserve"> and ‘just theoretical’</w:t>
      </w:r>
      <w:r w:rsidR="00372DFE" w:rsidRPr="001763AE">
        <w:t>.</w:t>
      </w:r>
    </w:p>
    <w:p w:rsidR="00843A80" w:rsidRPr="001763AE" w:rsidRDefault="00843A80" w:rsidP="00843A80">
      <w:pPr>
        <w:pStyle w:val="Heading6"/>
      </w:pPr>
      <w:r w:rsidRPr="001763AE">
        <w:t>Awareness campaigns</w:t>
      </w:r>
    </w:p>
    <w:p w:rsidR="00843A80" w:rsidRPr="001763AE" w:rsidRDefault="00843A80" w:rsidP="00DB28F8">
      <w:pPr>
        <w:pStyle w:val="NumberedPara"/>
        <w:numPr>
          <w:ilvl w:val="0"/>
          <w:numId w:val="0"/>
        </w:numPr>
      </w:pPr>
      <w:bookmarkStart w:id="29" w:name="_Ref392152633"/>
      <w:r w:rsidRPr="001763AE">
        <w:t>The main strategy for addressing the risk that the proposals of the project would not be supported was to raise awareness, particularly among decision-makers</w:t>
      </w:r>
      <w:r w:rsidR="00363DE2">
        <w:t>,</w:t>
      </w:r>
      <w:r w:rsidRPr="001763AE">
        <w:t xml:space="preserve"> about the benefits delivered by the protected area system and the potential income that could be generated for management</w:t>
      </w:r>
      <w:r w:rsidR="00427F20" w:rsidRPr="001763AE">
        <w:t xml:space="preserve">. </w:t>
      </w:r>
      <w:r w:rsidRPr="001763AE">
        <w:t>A number of approaches were used</w:t>
      </w:r>
      <w:bookmarkEnd w:id="29"/>
      <w:r w:rsidR="00363DE2">
        <w:t>.</w:t>
      </w:r>
    </w:p>
    <w:p w:rsidR="00427F20" w:rsidRPr="001763AE" w:rsidRDefault="00843A80" w:rsidP="00DB28F8">
      <w:pPr>
        <w:pStyle w:val="NumberedPara"/>
        <w:numPr>
          <w:ilvl w:val="0"/>
          <w:numId w:val="0"/>
        </w:numPr>
      </w:pPr>
      <w:r w:rsidRPr="001763AE">
        <w:t>In 2011</w:t>
      </w:r>
      <w:r w:rsidR="00363DE2">
        <w:t>,</w:t>
      </w:r>
      <w:r w:rsidRPr="001763AE">
        <w:t xml:space="preserve"> a com</w:t>
      </w:r>
      <w:r w:rsidR="00CE56EE">
        <w:t xml:space="preserve">munication strategy and action plan </w:t>
      </w:r>
      <w:r w:rsidRPr="001763AE">
        <w:t>were finalized, which included</w:t>
      </w:r>
      <w:r w:rsidR="006E16CE" w:rsidRPr="001763AE">
        <w:t xml:space="preserve"> </w:t>
      </w:r>
      <w:r w:rsidRPr="001763AE">
        <w:t xml:space="preserve">a range of public </w:t>
      </w:r>
      <w:r w:rsidRPr="001763AE">
        <w:rPr>
          <w:lang w:eastAsia="ro-RO"/>
        </w:rPr>
        <w:t xml:space="preserve">awareness-raising actions and events targeted at the general public, including </w:t>
      </w:r>
      <w:r w:rsidRPr="001763AE">
        <w:t>a celebration of the European Day of the Parks organized by the NFA and the project team at the Romanian Parliament</w:t>
      </w:r>
      <w:r w:rsidR="00427F20" w:rsidRPr="001763AE">
        <w:t xml:space="preserve">. </w:t>
      </w:r>
      <w:r w:rsidRPr="001763AE">
        <w:t>The project also used the imaginative approach of recruiting a team of national ‘Protected Areas Ambassadors’, public figures from various backgrounds who received communications and PR training to enable them to deliver targeted messages on the importance of securing the long-term future of Romania’s protected areas</w:t>
      </w:r>
      <w:r w:rsidR="00427F20" w:rsidRPr="001763AE">
        <w:t xml:space="preserve">. </w:t>
      </w:r>
      <w:r w:rsidRPr="001763AE">
        <w:t>Other activities included a new website for the Park Administrations Association, development of a presence on Facebo</w:t>
      </w:r>
      <w:r w:rsidR="007E22EB">
        <w:t>ok, creation of a data</w:t>
      </w:r>
      <w:r w:rsidRPr="001763AE">
        <w:t>base of friends of the project and press releases and publications</w:t>
      </w:r>
      <w:r w:rsidR="00427F20" w:rsidRPr="001763AE">
        <w:t>.</w:t>
      </w:r>
    </w:p>
    <w:p w:rsidR="00427F20" w:rsidRPr="001763AE" w:rsidRDefault="00843A80" w:rsidP="00DB28F8">
      <w:pPr>
        <w:pStyle w:val="NumberedPara"/>
        <w:numPr>
          <w:ilvl w:val="0"/>
          <w:numId w:val="0"/>
        </w:numPr>
      </w:pPr>
      <w:r w:rsidRPr="001763AE">
        <w:t xml:space="preserve">A press conference hosted by the UNDP Country Office in December 2011 provided an opportunity for members of the National Steering Committee to </w:t>
      </w:r>
      <w:r w:rsidR="007E22EB">
        <w:t xml:space="preserve">hold </w:t>
      </w:r>
      <w:r w:rsidRPr="001763AE">
        <w:t>discuss</w:t>
      </w:r>
      <w:r w:rsidR="007E22EB">
        <w:t>ions</w:t>
      </w:r>
      <w:r w:rsidRPr="001763AE">
        <w:t xml:space="preserve"> with private sector business</w:t>
      </w:r>
      <w:r w:rsidR="007E22EB">
        <w:t>es</w:t>
      </w:r>
      <w:r w:rsidRPr="001763AE">
        <w:t xml:space="preserve"> about ecosystem services and the need for better financing the PA’s, while meetings with also organised with private companies as well as other potential partners in PES mechanisms</w:t>
      </w:r>
      <w:r w:rsidR="007E22EB">
        <w:t>.</w:t>
      </w:r>
    </w:p>
    <w:p w:rsidR="00427F20" w:rsidRPr="001763AE" w:rsidRDefault="00843A80" w:rsidP="00DB28F8">
      <w:pPr>
        <w:pStyle w:val="NumberedPara"/>
        <w:numPr>
          <w:ilvl w:val="0"/>
          <w:numId w:val="0"/>
        </w:numPr>
      </w:pPr>
      <w:r w:rsidRPr="001763AE">
        <w:t>In 2013 the project initiated, through a contractor, a second, much more focused campaign based around the results of the</w:t>
      </w:r>
      <w:r w:rsidR="007E22EB">
        <w:t xml:space="preserve"> Valuation Study prepared by </w:t>
      </w:r>
      <w:r w:rsidRPr="001763AE">
        <w:t>the project under the banner ‘</w:t>
      </w:r>
      <w:r w:rsidRPr="00CE56EE">
        <w:rPr>
          <w:i/>
        </w:rPr>
        <w:t>put a value on nature’</w:t>
      </w:r>
      <w:r w:rsidR="007E22EB">
        <w:t xml:space="preserve">. </w:t>
      </w:r>
      <w:r w:rsidRPr="001763AE">
        <w:t>This used a range of media to increase awareness of the specific values of protected areas among the general public and to lobby for legislative and administrative and financial support from three categories of important stakeholders: Parliament members, government officials and private companies willing to invest</w:t>
      </w:r>
      <w:r w:rsidR="00427F20" w:rsidRPr="001763AE">
        <w:t xml:space="preserve">. </w:t>
      </w:r>
      <w:r w:rsidRPr="001763AE">
        <w:t xml:space="preserve">The campaign </w:t>
      </w:r>
      <w:r w:rsidR="00CE56EE">
        <w:t>comprised</w:t>
      </w:r>
      <w:r w:rsidRPr="001763AE">
        <w:t xml:space="preserve"> an online campaign, a website</w:t>
      </w:r>
      <w:r w:rsidR="00CE56EE">
        <w:t xml:space="preserve"> </w:t>
      </w:r>
      <w:r w:rsidRPr="001763AE">
        <w:t>and almost 200 personalised direct messages for politicians and senior private sector figures containing an imaginative educational tool (a so-called ecosystem elements origami box) and a personalised letter</w:t>
      </w:r>
      <w:r w:rsidR="00427F20" w:rsidRPr="001763AE">
        <w:t xml:space="preserve">. </w:t>
      </w:r>
      <w:r w:rsidRPr="001763AE">
        <w:t>The campaign achieved quite good penetration, generated a good amount of media attention, with more than 60 positive articles appearing in the press</w:t>
      </w:r>
      <w:r w:rsidR="00427F20" w:rsidRPr="001763AE">
        <w:t xml:space="preserve">. </w:t>
      </w:r>
      <w:r w:rsidRPr="001763AE">
        <w:t>Around half the recipients of the personalised letters were contacted personally and were generally positive about the campaign</w:t>
      </w:r>
      <w:r w:rsidR="00427F20" w:rsidRPr="001763AE">
        <w:t xml:space="preserve">. </w:t>
      </w:r>
      <w:r w:rsidRPr="001763AE">
        <w:t xml:space="preserve">However, </w:t>
      </w:r>
      <w:r w:rsidR="00CE56EE">
        <w:t>some respondents considered</w:t>
      </w:r>
      <w:r w:rsidRPr="001763AE">
        <w:t xml:space="preserve"> that the campaign was underfunded and that it took place too late to have a significant impact on policy; it would have been better to have started much earlier, but it was dependent on project outputs that took time to produce</w:t>
      </w:r>
      <w:r w:rsidR="00427F20" w:rsidRPr="001763AE">
        <w:t>.</w:t>
      </w:r>
    </w:p>
    <w:p w:rsidR="0025256D" w:rsidRDefault="00843A80" w:rsidP="00DB28F8">
      <w:pPr>
        <w:pStyle w:val="NumberedPara"/>
        <w:numPr>
          <w:ilvl w:val="0"/>
          <w:numId w:val="0"/>
        </w:numPr>
      </w:pPr>
      <w:r w:rsidRPr="001763AE">
        <w:t>Project partners, WWF felt that by engaging outside contractors to lead the campaign, insufficient use was made of their campaigning and advocacy expertise</w:t>
      </w:r>
      <w:r w:rsidR="00427F20" w:rsidRPr="001763AE">
        <w:t xml:space="preserve">. </w:t>
      </w:r>
      <w:r w:rsidRPr="001763AE">
        <w:t>The (justifiable) concern from the project’s point of view was that WWF’s more direct and forceful style would be incompatible within a project owned by the government and supported by UNDP</w:t>
      </w:r>
      <w:r w:rsidR="00CE56EE">
        <w:t>.</w:t>
      </w:r>
    </w:p>
    <w:p w:rsidR="00427F20" w:rsidRPr="001763AE" w:rsidRDefault="00843A80" w:rsidP="00DB28F8">
      <w:pPr>
        <w:pStyle w:val="NumberedPara"/>
        <w:numPr>
          <w:ilvl w:val="0"/>
          <w:numId w:val="0"/>
        </w:numPr>
      </w:pPr>
      <w:r w:rsidRPr="001763AE">
        <w:t>In 2014 the project commissioned production of an excellent ‘Infographic’ (animated presentation), outlining the objectives and accomplishments of the project in a clear and engaging way</w:t>
      </w:r>
      <w:r w:rsidR="00427F20" w:rsidRPr="001763AE">
        <w:t>.</w:t>
      </w:r>
      <w:r w:rsidR="00CE56EE">
        <w:t xml:space="preserve"> This was very well received at the concluding joint conference of the project.</w:t>
      </w:r>
    </w:p>
    <w:p w:rsidR="007665EF" w:rsidRPr="001763AE" w:rsidRDefault="007665EF" w:rsidP="007665EF">
      <w:pPr>
        <w:pStyle w:val="Heading6"/>
      </w:pPr>
      <w:r w:rsidRPr="001763AE">
        <w:t>Evaluation</w:t>
      </w:r>
    </w:p>
    <w:p w:rsidR="00B23C86" w:rsidRPr="001763AE" w:rsidRDefault="00223D5A" w:rsidP="00DB28F8">
      <w:pPr>
        <w:pStyle w:val="NumberedPara"/>
        <w:numPr>
          <w:ilvl w:val="0"/>
          <w:numId w:val="0"/>
        </w:numPr>
      </w:pPr>
      <w:r w:rsidRPr="001763AE">
        <w:t xml:space="preserve">In summary, </w:t>
      </w:r>
      <w:r w:rsidR="00BC4A12">
        <w:t xml:space="preserve">although </w:t>
      </w:r>
      <w:r w:rsidRPr="001763AE">
        <w:t>a comprehensive and professionally developed range of legal measures was proposed and actively promoted and supported by awareness campaigns, only cha</w:t>
      </w:r>
      <w:r w:rsidR="004047A8" w:rsidRPr="001763AE">
        <w:t>nges releasing short to medium -</w:t>
      </w:r>
      <w:r w:rsidRPr="001763AE">
        <w:t>term funding were approved, and proposals for long term and potentially sustainable proposals failed to secure approval. However, even if not approved at the moment, the proposed measures are still ‘on the table’, the key stake</w:t>
      </w:r>
      <w:r w:rsidR="007E22EB">
        <w:t>holders are aware of them. I</w:t>
      </w:r>
      <w:r w:rsidRPr="001763AE">
        <w:t>f means can be f</w:t>
      </w:r>
      <w:r w:rsidR="007E22EB">
        <w:t>ound to continue to promote</w:t>
      </w:r>
      <w:r w:rsidRPr="001763AE">
        <w:t xml:space="preserve">, improve and refine them, there is still a chance that they will be approved in some form in the future. As mentioned in Section </w:t>
      </w:r>
      <w:r w:rsidR="00217E75" w:rsidRPr="001763AE">
        <w:fldChar w:fldCharType="begin"/>
      </w:r>
      <w:r w:rsidRPr="001763AE">
        <w:instrText xml:space="preserve"> REF _Ref391209026 \r \h </w:instrText>
      </w:r>
      <w:r w:rsidR="00217E75" w:rsidRPr="001763AE">
        <w:fldChar w:fldCharType="separate"/>
      </w:r>
      <w:r w:rsidR="00D406FE">
        <w:t>3.1.1</w:t>
      </w:r>
      <w:r w:rsidR="00217E75" w:rsidRPr="001763AE">
        <w:fldChar w:fldCharType="end"/>
      </w:r>
      <w:r w:rsidRPr="001763AE">
        <w:t>, the inception process modified this first output and associated target, removing the requirement that the proposed changes would be approved. However</w:t>
      </w:r>
      <w:r w:rsidR="00BC4A12">
        <w:t>, securing changes in the law was</w:t>
      </w:r>
      <w:r w:rsidRPr="001763AE">
        <w:t xml:space="preserve"> a fundamental prerequisite for the overall objective of the project and for the other outputs under Outcome 1. Therefore the success of securing approval does to some extent have to be taken into consideration when evaluating this output. Consequently the output is evaluated as </w:t>
      </w:r>
      <w:r w:rsidR="004047A8" w:rsidRPr="001763AE">
        <w:rPr>
          <w:b/>
        </w:rPr>
        <w:t xml:space="preserve">Moderately </w:t>
      </w:r>
      <w:r w:rsidR="00E816EB" w:rsidRPr="001763AE">
        <w:rPr>
          <w:b/>
        </w:rPr>
        <w:t>S</w:t>
      </w:r>
      <w:r w:rsidR="004B1F41" w:rsidRPr="001763AE">
        <w:rPr>
          <w:b/>
        </w:rPr>
        <w:t>atisfactory</w:t>
      </w:r>
      <w:r w:rsidR="00385D8D">
        <w:rPr>
          <w:b/>
        </w:rPr>
        <w:t xml:space="preserve"> (MS).</w:t>
      </w:r>
    </w:p>
    <w:p w:rsidR="001E60FD" w:rsidRPr="001763AE" w:rsidRDefault="001E60FD" w:rsidP="00372DFE">
      <w:pPr>
        <w:pStyle w:val="NumberedPara"/>
        <w:numPr>
          <w:ilvl w:val="0"/>
          <w:numId w:val="0"/>
        </w:numPr>
      </w:pPr>
    </w:p>
    <w:p w:rsidR="00427F20" w:rsidRPr="001763AE" w:rsidRDefault="00630A5C" w:rsidP="00630A5C">
      <w:pPr>
        <w:pStyle w:val="Heading5"/>
      </w:pPr>
      <w:r w:rsidRPr="00E148F8">
        <w:t>Output 1</w:t>
      </w:r>
      <w:r w:rsidR="007C63A9" w:rsidRPr="00E148F8">
        <w:t>.2</w:t>
      </w:r>
      <w:r w:rsidRPr="00E148F8">
        <w:t>: Sustainable</w:t>
      </w:r>
      <w:r w:rsidRPr="001763AE">
        <w:t xml:space="preserve"> </w:t>
      </w:r>
      <w:r w:rsidR="00462874">
        <w:t>f</w:t>
      </w:r>
      <w:r w:rsidRPr="001763AE">
        <w:t xml:space="preserve">inancing </w:t>
      </w:r>
      <w:r w:rsidR="00462874">
        <w:t>strategy and action p</w:t>
      </w:r>
      <w:r w:rsidRPr="001763AE">
        <w:t xml:space="preserve">lan </w:t>
      </w:r>
      <w:r w:rsidR="003604D7" w:rsidRPr="001763AE">
        <w:t xml:space="preserve">developed </w:t>
      </w:r>
      <w:r w:rsidRPr="001763AE">
        <w:t xml:space="preserve">for 22 large </w:t>
      </w:r>
      <w:r w:rsidR="003604D7" w:rsidRPr="001763AE">
        <w:t xml:space="preserve">protected areas </w:t>
      </w:r>
      <w:r w:rsidRPr="001763AE">
        <w:t>in the Romanian portio</w:t>
      </w:r>
      <w:r w:rsidR="003604D7" w:rsidRPr="001763AE">
        <w:t>n of the Carpathians</w:t>
      </w:r>
    </w:p>
    <w:p w:rsidR="00427F20" w:rsidRPr="001763AE" w:rsidRDefault="006D618B" w:rsidP="00DB28F8">
      <w:pPr>
        <w:pStyle w:val="NumberedPara"/>
        <w:numPr>
          <w:ilvl w:val="0"/>
          <w:numId w:val="0"/>
        </w:numPr>
      </w:pPr>
      <w:r w:rsidRPr="001763AE">
        <w:t>Production of the sustainable financing strategy was the endpoint of a set of studies and evaluations conducted by the project with support from both international and national consultants</w:t>
      </w:r>
      <w:r w:rsidR="00427F20" w:rsidRPr="001763AE">
        <w:t>.</w:t>
      </w:r>
    </w:p>
    <w:p w:rsidR="00B148E7" w:rsidRPr="001763AE" w:rsidRDefault="006D618B" w:rsidP="00DB28F8">
      <w:pPr>
        <w:pStyle w:val="NumberedPara"/>
        <w:numPr>
          <w:ilvl w:val="0"/>
          <w:numId w:val="0"/>
        </w:numPr>
      </w:pPr>
      <w:r w:rsidRPr="001763AE">
        <w:t xml:space="preserve">A </w:t>
      </w:r>
      <w:r w:rsidR="003D1486" w:rsidRPr="001763AE">
        <w:t>cornerstone</w:t>
      </w:r>
      <w:r w:rsidRPr="001763AE">
        <w:t xml:space="preserve"> for the strategy was the </w:t>
      </w:r>
      <w:r w:rsidR="003D1486" w:rsidRPr="001763AE">
        <w:t>report ‘</w:t>
      </w:r>
      <w:r w:rsidR="003D1486" w:rsidRPr="001763AE">
        <w:rPr>
          <w:i/>
        </w:rPr>
        <w:t xml:space="preserve">An </w:t>
      </w:r>
      <w:r w:rsidRPr="001763AE">
        <w:rPr>
          <w:i/>
        </w:rPr>
        <w:t>assessment of the contribution of ecosystems in protected areas to sector growth and human well-being in Romania</w:t>
      </w:r>
      <w:r w:rsidR="003D1486" w:rsidRPr="001763AE">
        <w:rPr>
          <w:i/>
        </w:rPr>
        <w:t>’</w:t>
      </w:r>
      <w:r w:rsidR="003D1486" w:rsidRPr="001763AE">
        <w:t>, hereinafter referred to as the Valuation Study</w:t>
      </w:r>
      <w:r w:rsidR="00427F20" w:rsidRPr="001763AE">
        <w:t xml:space="preserve">. </w:t>
      </w:r>
      <w:r w:rsidRPr="001763AE">
        <w:t xml:space="preserve">This </w:t>
      </w:r>
      <w:r w:rsidR="005343A1" w:rsidRPr="001763AE">
        <w:t xml:space="preserve">used the </w:t>
      </w:r>
      <w:r w:rsidR="003D1486" w:rsidRPr="001763AE">
        <w:t>‘</w:t>
      </w:r>
      <w:r w:rsidR="00BC4A12">
        <w:t>S</w:t>
      </w:r>
      <w:r w:rsidR="005343A1" w:rsidRPr="001763AE">
        <w:t>e</w:t>
      </w:r>
      <w:r w:rsidR="00BC4A12">
        <w:t>ctor Scenario A</w:t>
      </w:r>
      <w:r w:rsidR="005343A1" w:rsidRPr="001763AE">
        <w:t>nalysis</w:t>
      </w:r>
      <w:r w:rsidR="000E080C" w:rsidRPr="001763AE">
        <w:t>’</w:t>
      </w:r>
      <w:r w:rsidR="005343A1" w:rsidRPr="001763AE">
        <w:t xml:space="preserve"> </w:t>
      </w:r>
      <w:r w:rsidR="003D1486" w:rsidRPr="001763AE">
        <w:t xml:space="preserve">(SSA) </w:t>
      </w:r>
      <w:r w:rsidR="005343A1" w:rsidRPr="001763AE">
        <w:t>approach</w:t>
      </w:r>
      <w:r w:rsidR="003D1486" w:rsidRPr="001763AE">
        <w:t xml:space="preserve"> </w:t>
      </w:r>
      <w:r w:rsidR="005343A1" w:rsidRPr="001763AE">
        <w:t>to estimate the economic values of the five pilot sites from the perspective of five different sectors: tourism, forestry and hunting, carbon sequestration, agriculture and food production, and water</w:t>
      </w:r>
      <w:r w:rsidR="00427F20" w:rsidRPr="001763AE">
        <w:t xml:space="preserve">. </w:t>
      </w:r>
      <w:r w:rsidR="003D1486" w:rsidRPr="001763AE">
        <w:t>SSA</w:t>
      </w:r>
      <w:r w:rsidR="005343A1" w:rsidRPr="001763AE">
        <w:t xml:space="preserve"> compares the values of the ecosystems of the protected areas </w:t>
      </w:r>
      <w:r w:rsidR="003D1486" w:rsidRPr="001763AE">
        <w:t>under two different scenarios</w:t>
      </w:r>
      <w:r w:rsidR="002F67DB" w:rsidRPr="001763AE">
        <w:t xml:space="preserve"> for each sector: i) Business as u</w:t>
      </w:r>
      <w:r w:rsidR="003D1486" w:rsidRPr="001763AE">
        <w:t>sual (BAU</w:t>
      </w:r>
      <w:r w:rsidR="005343A1" w:rsidRPr="001763AE">
        <w:t xml:space="preserve">) which assumes that management continues </w:t>
      </w:r>
      <w:r w:rsidR="003D1486" w:rsidRPr="001763AE">
        <w:t>as it is</w:t>
      </w:r>
      <w:r w:rsidR="006E16CE" w:rsidRPr="001763AE">
        <w:t xml:space="preserve"> </w:t>
      </w:r>
      <w:r w:rsidR="005343A1" w:rsidRPr="001763AE">
        <w:t>and</w:t>
      </w:r>
      <w:r w:rsidR="002F67DB" w:rsidRPr="001763AE">
        <w:t xml:space="preserve"> ii) Sustainable ecosystem m</w:t>
      </w:r>
      <w:r w:rsidR="005343A1" w:rsidRPr="001763AE">
        <w:t>anagement</w:t>
      </w:r>
      <w:r w:rsidR="003D1486" w:rsidRPr="001763AE">
        <w:t xml:space="preserve"> (SEM)</w:t>
      </w:r>
      <w:r w:rsidR="005343A1" w:rsidRPr="001763AE">
        <w:t>, which assumes</w:t>
      </w:r>
      <w:r w:rsidR="00984FA8" w:rsidRPr="001763AE">
        <w:t xml:space="preserve"> that funding and capacity are available to meet basic optimal protection needs so that ecosystem health improves and the flow of benefits increases</w:t>
      </w:r>
      <w:r w:rsidR="00427F20" w:rsidRPr="001763AE">
        <w:t xml:space="preserve">. </w:t>
      </w:r>
      <w:r w:rsidR="000B3959" w:rsidRPr="001763AE">
        <w:t xml:space="preserve">The overall result of the study </w:t>
      </w:r>
      <w:r w:rsidR="00237516" w:rsidRPr="001763AE">
        <w:t xml:space="preserve">(see </w:t>
      </w:r>
      <w:r w:rsidR="00217E75" w:rsidRPr="001763AE">
        <w:fldChar w:fldCharType="begin"/>
      </w:r>
      <w:r w:rsidR="00237516" w:rsidRPr="001763AE">
        <w:instrText xml:space="preserve"> REF _Ref392153594 \h </w:instrText>
      </w:r>
      <w:r w:rsidR="00217E75" w:rsidRPr="001763AE">
        <w:fldChar w:fldCharType="separate"/>
      </w:r>
      <w:r w:rsidR="00D406FE" w:rsidRPr="001763AE">
        <w:t xml:space="preserve">Table </w:t>
      </w:r>
      <w:r w:rsidR="00D406FE">
        <w:rPr>
          <w:noProof/>
        </w:rPr>
        <w:t>19</w:t>
      </w:r>
      <w:r w:rsidR="00217E75" w:rsidRPr="001763AE">
        <w:fldChar w:fldCharType="end"/>
      </w:r>
      <w:r w:rsidR="00237516" w:rsidRPr="001763AE">
        <w:t xml:space="preserve">) </w:t>
      </w:r>
      <w:r w:rsidR="000B3959" w:rsidRPr="001763AE">
        <w:t xml:space="preserve">suggests that the total </w:t>
      </w:r>
      <w:r w:rsidR="003D1486" w:rsidRPr="001763AE">
        <w:t>cumulative benefit of adopting SE</w:t>
      </w:r>
      <w:r w:rsidR="000B3959" w:rsidRPr="001763AE">
        <w:t xml:space="preserve">M </w:t>
      </w:r>
      <w:r w:rsidR="00BC4A12">
        <w:t>over 25 years was</w:t>
      </w:r>
      <w:r w:rsidR="002F67DB" w:rsidRPr="001763AE">
        <w:t xml:space="preserve"> </w:t>
      </w:r>
      <w:r w:rsidR="000B3959" w:rsidRPr="001763AE">
        <w:t>€</w:t>
      </w:r>
      <w:r w:rsidR="002F67DB" w:rsidRPr="001763AE">
        <w:t>2.794</w:t>
      </w:r>
      <w:r w:rsidR="00D03F75">
        <w:t xml:space="preserve"> b</w:t>
      </w:r>
      <w:r w:rsidR="003D1486" w:rsidRPr="001763AE">
        <w:t>illion, and</w:t>
      </w:r>
      <w:r w:rsidR="000B3959" w:rsidRPr="001763AE">
        <w:t xml:space="preserve"> that since many of the ecosystem services are </w:t>
      </w:r>
      <w:r w:rsidR="003D1486" w:rsidRPr="001763AE">
        <w:t xml:space="preserve">already </w:t>
      </w:r>
      <w:r w:rsidR="000B3959" w:rsidRPr="001763AE">
        <w:t>operating at close to the SEM level</w:t>
      </w:r>
      <w:r w:rsidR="003D1486" w:rsidRPr="001763AE">
        <w:t>,</w:t>
      </w:r>
      <w:r w:rsidR="000B3959" w:rsidRPr="001763AE">
        <w:t xml:space="preserve"> by far the greatest additional benefit is likely to be derived from tourism (€2</w:t>
      </w:r>
      <w:r w:rsidR="002F67DB" w:rsidRPr="001763AE">
        <w:t xml:space="preserve">.627 </w:t>
      </w:r>
      <w:r w:rsidR="00D03F75">
        <w:t>b</w:t>
      </w:r>
      <w:r w:rsidR="000B3959" w:rsidRPr="001763AE">
        <w:t>illion)</w:t>
      </w:r>
      <w:r w:rsidR="00427F20" w:rsidRPr="001763AE">
        <w:t xml:space="preserve">. </w:t>
      </w:r>
      <w:r w:rsidR="000B76C4" w:rsidRPr="001763AE">
        <w:t xml:space="preserve">The implication of this is that efforts to maximise the economic potential of protected areas should </w:t>
      </w:r>
      <w:r w:rsidR="003D1486" w:rsidRPr="001763AE">
        <w:t xml:space="preserve">focus </w:t>
      </w:r>
      <w:r w:rsidR="00D03F75">
        <w:t xml:space="preserve">mainly </w:t>
      </w:r>
      <w:r w:rsidR="000B76C4" w:rsidRPr="001763AE">
        <w:t>o</w:t>
      </w:r>
      <w:r w:rsidR="003D1486" w:rsidRPr="001763AE">
        <w:t>n</w:t>
      </w:r>
      <w:r w:rsidR="000B76C4" w:rsidRPr="001763AE">
        <w:t xml:space="preserve"> develop</w:t>
      </w:r>
      <w:r w:rsidR="003D1486" w:rsidRPr="001763AE">
        <w:t>ing and promoting</w:t>
      </w:r>
      <w:r w:rsidR="000B76C4" w:rsidRPr="001763AE">
        <w:t xml:space="preserve"> sustainab</w:t>
      </w:r>
      <w:r w:rsidR="00877E20" w:rsidRPr="001763AE">
        <w:t>le tourism</w:t>
      </w:r>
      <w:r w:rsidR="00427F20" w:rsidRPr="001763AE">
        <w:t xml:space="preserve">. </w:t>
      </w:r>
      <w:r w:rsidR="00877E20" w:rsidRPr="001763AE">
        <w:t xml:space="preserve">Other areas where </w:t>
      </w:r>
      <w:r w:rsidR="000B76C4" w:rsidRPr="001763AE">
        <w:t>significant benefit</w:t>
      </w:r>
      <w:r w:rsidR="003D1486" w:rsidRPr="001763AE">
        <w:t>s</w:t>
      </w:r>
      <w:r w:rsidR="000B76C4" w:rsidRPr="001763AE">
        <w:t xml:space="preserve"> could be derived from improved management related to water supply, food and agricultural products</w:t>
      </w:r>
      <w:r w:rsidR="003D1486" w:rsidRPr="001763AE">
        <w:t>,</w:t>
      </w:r>
      <w:r w:rsidR="000B76C4" w:rsidRPr="001763AE">
        <w:t xml:space="preserve"> regulation of and disaster avoidance/mitigation</w:t>
      </w:r>
      <w:r w:rsidR="00427F20" w:rsidRPr="001763AE">
        <w:t>.</w:t>
      </w:r>
    </w:p>
    <w:p w:rsidR="00B148E7" w:rsidRPr="001763AE" w:rsidRDefault="00B148E7" w:rsidP="00B148E7">
      <w:pPr>
        <w:pStyle w:val="Caption"/>
        <w:rPr>
          <w:rFonts w:cs="Arial"/>
        </w:rPr>
      </w:pPr>
      <w:bookmarkStart w:id="30" w:name="_Ref392153594"/>
      <w:bookmarkStart w:id="31" w:name="_Toc338319936"/>
      <w:r w:rsidRPr="001763AE">
        <w:t xml:space="preserve">Table </w:t>
      </w:r>
      <w:r w:rsidR="00C072C9">
        <w:fldChar w:fldCharType="begin"/>
      </w:r>
      <w:r w:rsidR="00C072C9">
        <w:instrText xml:space="preserve"> SEQ Table \* ARABIC </w:instrText>
      </w:r>
      <w:r w:rsidR="00C072C9">
        <w:fldChar w:fldCharType="separate"/>
      </w:r>
      <w:r w:rsidR="00D406FE">
        <w:rPr>
          <w:noProof/>
        </w:rPr>
        <w:t>19</w:t>
      </w:r>
      <w:r w:rsidR="00C072C9">
        <w:rPr>
          <w:noProof/>
        </w:rPr>
        <w:fldChar w:fldCharType="end"/>
      </w:r>
      <w:bookmarkEnd w:id="30"/>
      <w:r w:rsidRPr="001763AE">
        <w:t xml:space="preserve"> </w:t>
      </w:r>
      <w:r w:rsidRPr="001763AE">
        <w:rPr>
          <w:rFonts w:cs="Arial"/>
        </w:rPr>
        <w:t xml:space="preserve">Summary of </w:t>
      </w:r>
      <w:r w:rsidR="00237516" w:rsidRPr="001763AE">
        <w:rPr>
          <w:rFonts w:cs="Arial"/>
        </w:rPr>
        <w:t>potential ecosystem</w:t>
      </w:r>
      <w:r w:rsidRPr="001763AE">
        <w:rPr>
          <w:rFonts w:cs="Arial"/>
        </w:rPr>
        <w:t xml:space="preserve"> values for the 5 pilot sites</w:t>
      </w:r>
      <w:bookmarkEnd w:id="31"/>
      <w:r w:rsidRPr="001763AE">
        <w:rPr>
          <w:rFonts w:cs="Arial"/>
        </w:rPr>
        <w:t xml:space="preserve"> </w:t>
      </w:r>
      <w:r w:rsidR="00237516" w:rsidRPr="001763AE">
        <w:rPr>
          <w:rFonts w:cs="Arial"/>
        </w:rPr>
        <w:t xml:space="preserve">over 25 years- 2011- 2035 </w:t>
      </w:r>
      <w:r w:rsidRPr="001763AE">
        <w:rPr>
          <w:rFonts w:cs="Arial"/>
        </w:rPr>
        <w:t>(million Euros)</w:t>
      </w:r>
    </w:p>
    <w:tbl>
      <w:tblPr>
        <w:tblStyle w:val="BasicReportTable"/>
        <w:tblW w:w="5000" w:type="pct"/>
        <w:tblLook w:val="04A0" w:firstRow="1" w:lastRow="0" w:firstColumn="1" w:lastColumn="0" w:noHBand="0" w:noVBand="1"/>
      </w:tblPr>
      <w:tblGrid>
        <w:gridCol w:w="675"/>
        <w:gridCol w:w="2835"/>
        <w:gridCol w:w="1325"/>
        <w:gridCol w:w="1825"/>
        <w:gridCol w:w="1624"/>
        <w:gridCol w:w="1571"/>
      </w:tblGrid>
      <w:tr w:rsidR="00B148E7" w:rsidRPr="001763AE" w:rsidTr="00DF5C22">
        <w:trPr>
          <w:cnfStyle w:val="100000000000" w:firstRow="1" w:lastRow="0" w:firstColumn="0" w:lastColumn="0" w:oddVBand="0" w:evenVBand="0" w:oddHBand="0" w:evenHBand="0" w:firstRowFirstColumn="0" w:firstRowLastColumn="0" w:lastRowFirstColumn="0" w:lastRowLastColumn="0"/>
          <w:trHeight w:val="1266"/>
        </w:trPr>
        <w:tc>
          <w:tcPr>
            <w:tcW w:w="342" w:type="pct"/>
            <w:textDirection w:val="btLr"/>
            <w:hideMark/>
          </w:tcPr>
          <w:p w:rsidR="00B148E7" w:rsidRPr="001763AE" w:rsidRDefault="00B148E7" w:rsidP="00B148E7">
            <w:pPr>
              <w:spacing w:line="240" w:lineRule="auto"/>
              <w:ind w:left="113" w:right="113"/>
              <w:rPr>
                <w:rFonts w:cs="Arial"/>
                <w:b w:val="0"/>
                <w:bCs/>
                <w:szCs w:val="20"/>
              </w:rPr>
            </w:pPr>
            <w:r w:rsidRPr="001763AE">
              <w:rPr>
                <w:rFonts w:cs="Arial"/>
                <w:b w:val="0"/>
                <w:bCs/>
                <w:szCs w:val="20"/>
              </w:rPr>
              <w:t>ES Type</w:t>
            </w:r>
          </w:p>
        </w:tc>
        <w:tc>
          <w:tcPr>
            <w:tcW w:w="1438" w:type="pct"/>
            <w:hideMark/>
          </w:tcPr>
          <w:p w:rsidR="00B148E7" w:rsidRPr="001763AE" w:rsidRDefault="00B148E7" w:rsidP="00B148E7">
            <w:pPr>
              <w:spacing w:line="240" w:lineRule="auto"/>
              <w:rPr>
                <w:rFonts w:cs="Arial"/>
                <w:b w:val="0"/>
                <w:bCs/>
                <w:szCs w:val="20"/>
              </w:rPr>
            </w:pPr>
            <w:r w:rsidRPr="001763AE">
              <w:rPr>
                <w:rFonts w:cs="Arial"/>
                <w:b w:val="0"/>
                <w:bCs/>
                <w:szCs w:val="20"/>
              </w:rPr>
              <w:t>Service</w:t>
            </w:r>
          </w:p>
        </w:tc>
        <w:tc>
          <w:tcPr>
            <w:tcW w:w="672" w:type="pct"/>
            <w:hideMark/>
          </w:tcPr>
          <w:p w:rsidR="00B148E7" w:rsidRPr="001763AE" w:rsidRDefault="00B148E7" w:rsidP="00B148E7">
            <w:pPr>
              <w:spacing w:line="240" w:lineRule="auto"/>
              <w:rPr>
                <w:rFonts w:cs="Arial"/>
                <w:b w:val="0"/>
                <w:bCs/>
                <w:szCs w:val="20"/>
              </w:rPr>
            </w:pPr>
            <w:r w:rsidRPr="001763AE">
              <w:rPr>
                <w:rFonts w:cs="Arial"/>
                <w:b w:val="0"/>
                <w:bCs/>
                <w:szCs w:val="20"/>
              </w:rPr>
              <w:t>BAU Value</w:t>
            </w:r>
          </w:p>
          <w:p w:rsidR="00B148E7" w:rsidRPr="001763AE" w:rsidRDefault="00B148E7" w:rsidP="00237516">
            <w:pPr>
              <w:spacing w:line="240" w:lineRule="auto"/>
              <w:rPr>
                <w:rFonts w:cs="Arial"/>
                <w:b w:val="0"/>
                <w:bCs/>
                <w:szCs w:val="20"/>
              </w:rPr>
            </w:pPr>
            <w:r w:rsidRPr="001763AE">
              <w:rPr>
                <w:rFonts w:cs="Arial"/>
                <w:b w:val="0"/>
                <w:bCs/>
                <w:szCs w:val="20"/>
              </w:rPr>
              <w:t xml:space="preserve">(P @10%, </w:t>
            </w:r>
          </w:p>
        </w:tc>
        <w:tc>
          <w:tcPr>
            <w:tcW w:w="926" w:type="pct"/>
            <w:hideMark/>
          </w:tcPr>
          <w:p w:rsidR="00B148E7" w:rsidRPr="001763AE" w:rsidRDefault="00237516" w:rsidP="00237516">
            <w:pPr>
              <w:spacing w:line="240" w:lineRule="auto"/>
              <w:rPr>
                <w:rFonts w:cs="Arial"/>
                <w:b w:val="0"/>
                <w:bCs/>
                <w:szCs w:val="20"/>
              </w:rPr>
            </w:pPr>
            <w:r w:rsidRPr="001763AE">
              <w:rPr>
                <w:rFonts w:cs="Arial"/>
                <w:b w:val="0"/>
                <w:bCs/>
                <w:szCs w:val="20"/>
              </w:rPr>
              <w:t>SEM value (PV@10%,</w:t>
            </w:r>
          </w:p>
        </w:tc>
        <w:tc>
          <w:tcPr>
            <w:tcW w:w="824" w:type="pct"/>
          </w:tcPr>
          <w:p w:rsidR="0025256D" w:rsidRDefault="00B148E7" w:rsidP="00237516">
            <w:pPr>
              <w:spacing w:line="240" w:lineRule="auto"/>
              <w:rPr>
                <w:rFonts w:cs="Arial"/>
                <w:b w:val="0"/>
                <w:bCs/>
                <w:szCs w:val="20"/>
              </w:rPr>
            </w:pPr>
            <w:r w:rsidRPr="001763AE">
              <w:rPr>
                <w:rFonts w:cs="Arial"/>
                <w:b w:val="0"/>
                <w:bCs/>
                <w:szCs w:val="20"/>
              </w:rPr>
              <w:t>NPV</w:t>
            </w:r>
          </w:p>
          <w:p w:rsidR="00B148E7" w:rsidRPr="001763AE" w:rsidRDefault="00B148E7" w:rsidP="00237516">
            <w:pPr>
              <w:spacing w:line="240" w:lineRule="auto"/>
              <w:rPr>
                <w:rFonts w:cs="Arial"/>
                <w:b w:val="0"/>
                <w:bCs/>
                <w:szCs w:val="20"/>
              </w:rPr>
            </w:pPr>
            <w:r w:rsidRPr="001763AE">
              <w:rPr>
                <w:rFonts w:cs="Arial"/>
                <w:b w:val="0"/>
                <w:bCs/>
                <w:szCs w:val="20"/>
              </w:rPr>
              <w:t xml:space="preserve">(PV SEM – PV BAU) @10%, </w:t>
            </w:r>
          </w:p>
        </w:tc>
        <w:tc>
          <w:tcPr>
            <w:tcW w:w="797" w:type="pct"/>
            <w:hideMark/>
          </w:tcPr>
          <w:p w:rsidR="00B148E7" w:rsidRPr="001763AE" w:rsidRDefault="00B148E7" w:rsidP="00237516">
            <w:pPr>
              <w:spacing w:line="240" w:lineRule="auto"/>
              <w:ind w:left="-13" w:firstLine="13"/>
              <w:rPr>
                <w:rFonts w:cs="Arial"/>
                <w:b w:val="0"/>
                <w:bCs/>
                <w:szCs w:val="20"/>
              </w:rPr>
            </w:pPr>
            <w:r w:rsidRPr="001763AE">
              <w:rPr>
                <w:rFonts w:cs="Arial"/>
                <w:b w:val="0"/>
                <w:bCs/>
                <w:szCs w:val="20"/>
              </w:rPr>
              <w:t>Total cumul</w:t>
            </w:r>
            <w:r w:rsidR="00237516" w:rsidRPr="001763AE">
              <w:rPr>
                <w:rFonts w:cs="Arial"/>
                <w:b w:val="0"/>
                <w:bCs/>
                <w:szCs w:val="20"/>
              </w:rPr>
              <w:t xml:space="preserve">ative benefit under SEM </w:t>
            </w:r>
          </w:p>
        </w:tc>
      </w:tr>
      <w:tr w:rsidR="00B148E7" w:rsidRPr="001763AE" w:rsidTr="00DF5C22">
        <w:trPr>
          <w:trHeight w:val="297"/>
        </w:trPr>
        <w:tc>
          <w:tcPr>
            <w:tcW w:w="342" w:type="pct"/>
            <w:vMerge w:val="restart"/>
            <w:textDirection w:val="btLr"/>
            <w:hideMark/>
          </w:tcPr>
          <w:p w:rsidR="00B148E7" w:rsidRPr="001763AE" w:rsidRDefault="00B148E7" w:rsidP="00B148E7">
            <w:pPr>
              <w:spacing w:line="240" w:lineRule="auto"/>
              <w:ind w:left="113" w:right="113"/>
              <w:rPr>
                <w:rFonts w:cs="Arial"/>
                <w:b/>
                <w:bCs/>
                <w:color w:val="000000"/>
                <w:szCs w:val="20"/>
              </w:rPr>
            </w:pPr>
            <w:r w:rsidRPr="001763AE">
              <w:rPr>
                <w:rFonts w:cs="Arial"/>
                <w:b/>
                <w:bCs/>
                <w:color w:val="000000"/>
                <w:szCs w:val="20"/>
              </w:rPr>
              <w:t>Provisioning Services</w:t>
            </w:r>
          </w:p>
        </w:tc>
        <w:tc>
          <w:tcPr>
            <w:tcW w:w="1438" w:type="pct"/>
            <w:hideMark/>
          </w:tcPr>
          <w:p w:rsidR="00B148E7" w:rsidRPr="001763AE" w:rsidRDefault="00B148E7" w:rsidP="00B148E7">
            <w:pPr>
              <w:spacing w:line="240" w:lineRule="auto"/>
              <w:rPr>
                <w:rFonts w:cs="Arial"/>
                <w:color w:val="000000"/>
                <w:szCs w:val="20"/>
              </w:rPr>
            </w:pPr>
            <w:r w:rsidRPr="001763AE">
              <w:rPr>
                <w:rFonts w:cs="Arial"/>
                <w:color w:val="000000"/>
                <w:szCs w:val="20"/>
              </w:rPr>
              <w:t>Food / agriculture products</w:t>
            </w:r>
          </w:p>
        </w:tc>
        <w:tc>
          <w:tcPr>
            <w:tcW w:w="672"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174.00</w:t>
            </w:r>
          </w:p>
        </w:tc>
        <w:tc>
          <w:tcPr>
            <w:tcW w:w="926"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190.00</w:t>
            </w:r>
          </w:p>
        </w:tc>
        <w:tc>
          <w:tcPr>
            <w:tcW w:w="824" w:type="pct"/>
          </w:tcPr>
          <w:p w:rsidR="00B148E7" w:rsidRPr="001763AE" w:rsidRDefault="00B148E7" w:rsidP="00B148E7">
            <w:pPr>
              <w:spacing w:line="240" w:lineRule="auto"/>
              <w:jc w:val="center"/>
              <w:rPr>
                <w:rFonts w:cs="Arial"/>
                <w:color w:val="000000"/>
                <w:szCs w:val="20"/>
              </w:rPr>
            </w:pPr>
            <w:r w:rsidRPr="001763AE">
              <w:rPr>
                <w:rFonts w:cs="Arial"/>
                <w:color w:val="000000"/>
                <w:szCs w:val="20"/>
              </w:rPr>
              <w:t>16.00</w:t>
            </w:r>
          </w:p>
        </w:tc>
        <w:tc>
          <w:tcPr>
            <w:tcW w:w="797"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83.90</w:t>
            </w:r>
          </w:p>
        </w:tc>
      </w:tr>
      <w:tr w:rsidR="00B148E7" w:rsidRPr="001763AE" w:rsidTr="00DF5C22">
        <w:trPr>
          <w:trHeight w:val="273"/>
        </w:trPr>
        <w:tc>
          <w:tcPr>
            <w:tcW w:w="342" w:type="pct"/>
            <w:vMerge/>
            <w:hideMark/>
          </w:tcPr>
          <w:p w:rsidR="00B148E7" w:rsidRPr="001763AE" w:rsidRDefault="00B148E7" w:rsidP="00B148E7">
            <w:pPr>
              <w:spacing w:line="240" w:lineRule="auto"/>
              <w:rPr>
                <w:rFonts w:cs="Arial"/>
                <w:b/>
                <w:bCs/>
                <w:color w:val="000000"/>
                <w:szCs w:val="20"/>
              </w:rPr>
            </w:pPr>
          </w:p>
        </w:tc>
        <w:tc>
          <w:tcPr>
            <w:tcW w:w="1438" w:type="pct"/>
            <w:hideMark/>
          </w:tcPr>
          <w:p w:rsidR="00B148E7" w:rsidRPr="001763AE" w:rsidRDefault="00B148E7" w:rsidP="00B148E7">
            <w:pPr>
              <w:spacing w:line="240" w:lineRule="auto"/>
              <w:rPr>
                <w:rFonts w:cs="Arial"/>
                <w:color w:val="000000"/>
                <w:szCs w:val="20"/>
              </w:rPr>
            </w:pPr>
            <w:r w:rsidRPr="001763AE">
              <w:rPr>
                <w:rFonts w:cs="Arial"/>
                <w:color w:val="000000"/>
                <w:szCs w:val="20"/>
              </w:rPr>
              <w:t>Wood &amp; NTFPs</w:t>
            </w:r>
          </w:p>
        </w:tc>
        <w:tc>
          <w:tcPr>
            <w:tcW w:w="672"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77.30</w:t>
            </w:r>
          </w:p>
        </w:tc>
        <w:tc>
          <w:tcPr>
            <w:tcW w:w="926"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74.50</w:t>
            </w:r>
          </w:p>
        </w:tc>
        <w:tc>
          <w:tcPr>
            <w:tcW w:w="824" w:type="pct"/>
          </w:tcPr>
          <w:p w:rsidR="00B148E7" w:rsidRPr="001763AE" w:rsidRDefault="00B148E7" w:rsidP="00B148E7">
            <w:pPr>
              <w:spacing w:line="240" w:lineRule="auto"/>
              <w:jc w:val="center"/>
              <w:rPr>
                <w:rFonts w:cs="Arial"/>
                <w:color w:val="000000"/>
                <w:szCs w:val="20"/>
              </w:rPr>
            </w:pPr>
            <w:r w:rsidRPr="001763AE">
              <w:rPr>
                <w:rFonts w:cs="Arial"/>
                <w:color w:val="000000"/>
                <w:szCs w:val="20"/>
              </w:rPr>
              <w:t>-2.80</w:t>
            </w:r>
          </w:p>
        </w:tc>
        <w:tc>
          <w:tcPr>
            <w:tcW w:w="797"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-2.80</w:t>
            </w:r>
          </w:p>
        </w:tc>
      </w:tr>
      <w:tr w:rsidR="00B148E7" w:rsidRPr="001763AE" w:rsidTr="00DF5C22">
        <w:trPr>
          <w:trHeight w:val="409"/>
        </w:trPr>
        <w:tc>
          <w:tcPr>
            <w:tcW w:w="342" w:type="pct"/>
            <w:vMerge/>
            <w:hideMark/>
          </w:tcPr>
          <w:p w:rsidR="00B148E7" w:rsidRPr="001763AE" w:rsidRDefault="00B148E7" w:rsidP="00B148E7">
            <w:pPr>
              <w:spacing w:line="240" w:lineRule="auto"/>
              <w:rPr>
                <w:rFonts w:cs="Arial"/>
                <w:b/>
                <w:bCs/>
                <w:color w:val="000000"/>
                <w:szCs w:val="20"/>
              </w:rPr>
            </w:pPr>
          </w:p>
        </w:tc>
        <w:tc>
          <w:tcPr>
            <w:tcW w:w="1438" w:type="pct"/>
            <w:hideMark/>
          </w:tcPr>
          <w:p w:rsidR="00B148E7" w:rsidRPr="001763AE" w:rsidRDefault="00B148E7" w:rsidP="00B148E7">
            <w:pPr>
              <w:spacing w:line="240" w:lineRule="auto"/>
              <w:rPr>
                <w:rFonts w:cs="Arial"/>
                <w:color w:val="000000"/>
                <w:szCs w:val="20"/>
              </w:rPr>
            </w:pPr>
            <w:r w:rsidRPr="001763AE">
              <w:rPr>
                <w:rFonts w:cs="Arial"/>
                <w:color w:val="000000"/>
                <w:szCs w:val="20"/>
              </w:rPr>
              <w:t xml:space="preserve">Water supply (reduced treatment costs associated with regulating services of soil erosion and water flow regulation) </w:t>
            </w:r>
          </w:p>
        </w:tc>
        <w:tc>
          <w:tcPr>
            <w:tcW w:w="672"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176.3</w:t>
            </w:r>
          </w:p>
        </w:tc>
        <w:tc>
          <w:tcPr>
            <w:tcW w:w="926"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177.2</w:t>
            </w:r>
          </w:p>
        </w:tc>
        <w:tc>
          <w:tcPr>
            <w:tcW w:w="824" w:type="pct"/>
          </w:tcPr>
          <w:p w:rsidR="00B148E7" w:rsidRPr="001763AE" w:rsidRDefault="00B148E7" w:rsidP="00B148E7">
            <w:pPr>
              <w:spacing w:line="240" w:lineRule="auto"/>
              <w:jc w:val="center"/>
              <w:rPr>
                <w:rFonts w:cs="Arial"/>
                <w:color w:val="000000"/>
                <w:szCs w:val="20"/>
              </w:rPr>
            </w:pPr>
            <w:r w:rsidRPr="001763AE">
              <w:rPr>
                <w:rFonts w:cs="Arial"/>
                <w:color w:val="000000"/>
                <w:szCs w:val="20"/>
              </w:rPr>
              <w:t>0.90</w:t>
            </w:r>
          </w:p>
        </w:tc>
        <w:tc>
          <w:tcPr>
            <w:tcW w:w="797"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35.40</w:t>
            </w:r>
          </w:p>
        </w:tc>
      </w:tr>
      <w:tr w:rsidR="00B148E7" w:rsidRPr="001763AE" w:rsidTr="00DF5C22">
        <w:trPr>
          <w:trHeight w:val="329"/>
        </w:trPr>
        <w:tc>
          <w:tcPr>
            <w:tcW w:w="342" w:type="pct"/>
            <w:vMerge/>
            <w:hideMark/>
          </w:tcPr>
          <w:p w:rsidR="00B148E7" w:rsidRPr="001763AE" w:rsidRDefault="00B148E7" w:rsidP="00B148E7">
            <w:pPr>
              <w:spacing w:line="240" w:lineRule="auto"/>
              <w:rPr>
                <w:rFonts w:cs="Arial"/>
                <w:b/>
                <w:bCs/>
                <w:color w:val="000000"/>
                <w:szCs w:val="20"/>
              </w:rPr>
            </w:pPr>
          </w:p>
        </w:tc>
        <w:tc>
          <w:tcPr>
            <w:tcW w:w="1438" w:type="pct"/>
            <w:hideMark/>
          </w:tcPr>
          <w:p w:rsidR="00B148E7" w:rsidRPr="001763AE" w:rsidRDefault="00B148E7" w:rsidP="00B148E7">
            <w:pPr>
              <w:spacing w:line="240" w:lineRule="auto"/>
              <w:rPr>
                <w:rFonts w:cs="Arial"/>
                <w:color w:val="000000"/>
                <w:szCs w:val="20"/>
              </w:rPr>
            </w:pPr>
            <w:r w:rsidRPr="001763AE">
              <w:rPr>
                <w:rFonts w:cs="Arial"/>
                <w:color w:val="000000"/>
                <w:szCs w:val="20"/>
              </w:rPr>
              <w:t xml:space="preserve">Source of energy (fuel </w:t>
            </w:r>
            <w:r w:rsidR="00BE4C65" w:rsidRPr="001763AE">
              <w:rPr>
                <w:rFonts w:cs="Arial"/>
                <w:color w:val="000000"/>
                <w:szCs w:val="20"/>
              </w:rPr>
              <w:t>etc.</w:t>
            </w:r>
            <w:r w:rsidRPr="001763AE">
              <w:rPr>
                <w:rFonts w:cs="Arial"/>
                <w:color w:val="000000"/>
                <w:szCs w:val="20"/>
              </w:rPr>
              <w:t>)</w:t>
            </w:r>
          </w:p>
        </w:tc>
        <w:tc>
          <w:tcPr>
            <w:tcW w:w="672"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c>
          <w:tcPr>
            <w:tcW w:w="926"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c>
          <w:tcPr>
            <w:tcW w:w="824" w:type="pct"/>
          </w:tcPr>
          <w:p w:rsidR="00B148E7" w:rsidRPr="001763AE" w:rsidRDefault="00B148E7" w:rsidP="00B148E7">
            <w:pPr>
              <w:spacing w:line="240" w:lineRule="auto"/>
              <w:jc w:val="center"/>
              <w:rPr>
                <w:rFonts w:cs="Arial"/>
                <w:color w:val="000000"/>
                <w:szCs w:val="20"/>
              </w:rPr>
            </w:pPr>
            <w:r w:rsidRPr="001763AE">
              <w:rPr>
                <w:rFonts w:cs="Arial"/>
                <w:color w:val="000000"/>
                <w:szCs w:val="20"/>
              </w:rPr>
              <w:t>.-</w:t>
            </w:r>
          </w:p>
        </w:tc>
        <w:tc>
          <w:tcPr>
            <w:tcW w:w="797"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r>
      <w:tr w:rsidR="00B148E7" w:rsidRPr="001763AE" w:rsidTr="00DF5C22">
        <w:trPr>
          <w:trHeight w:val="277"/>
        </w:trPr>
        <w:tc>
          <w:tcPr>
            <w:tcW w:w="342" w:type="pct"/>
            <w:vMerge w:val="restart"/>
            <w:textDirection w:val="btLr"/>
            <w:hideMark/>
          </w:tcPr>
          <w:p w:rsidR="00B148E7" w:rsidRPr="001763AE" w:rsidRDefault="00B148E7" w:rsidP="00B148E7">
            <w:pPr>
              <w:spacing w:line="240" w:lineRule="auto"/>
              <w:ind w:left="113" w:right="113"/>
              <w:rPr>
                <w:rFonts w:cs="Arial"/>
                <w:b/>
                <w:bCs/>
                <w:color w:val="000000"/>
                <w:szCs w:val="20"/>
              </w:rPr>
            </w:pPr>
            <w:r w:rsidRPr="001763AE">
              <w:rPr>
                <w:rFonts w:cs="Arial"/>
                <w:b/>
                <w:bCs/>
                <w:color w:val="000000"/>
                <w:szCs w:val="20"/>
              </w:rPr>
              <w:t>Regulating Services</w:t>
            </w:r>
          </w:p>
        </w:tc>
        <w:tc>
          <w:tcPr>
            <w:tcW w:w="1438" w:type="pct"/>
            <w:hideMark/>
          </w:tcPr>
          <w:p w:rsidR="00B148E7" w:rsidRPr="001763AE" w:rsidRDefault="00B148E7" w:rsidP="00B148E7">
            <w:pPr>
              <w:spacing w:line="240" w:lineRule="auto"/>
              <w:rPr>
                <w:rFonts w:cs="Arial"/>
                <w:color w:val="000000"/>
                <w:szCs w:val="20"/>
              </w:rPr>
            </w:pPr>
            <w:r w:rsidRPr="001763AE">
              <w:rPr>
                <w:rFonts w:cs="Arial"/>
                <w:color w:val="000000"/>
                <w:szCs w:val="20"/>
              </w:rPr>
              <w:t>Regulation of GHGs</w:t>
            </w:r>
          </w:p>
        </w:tc>
        <w:tc>
          <w:tcPr>
            <w:tcW w:w="672"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14.40</w:t>
            </w:r>
          </w:p>
        </w:tc>
        <w:tc>
          <w:tcPr>
            <w:tcW w:w="926"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20.20</w:t>
            </w:r>
          </w:p>
        </w:tc>
        <w:tc>
          <w:tcPr>
            <w:tcW w:w="824" w:type="pct"/>
          </w:tcPr>
          <w:p w:rsidR="00B148E7" w:rsidRPr="001763AE" w:rsidRDefault="00B148E7" w:rsidP="00B148E7">
            <w:pPr>
              <w:spacing w:line="240" w:lineRule="auto"/>
              <w:jc w:val="center"/>
              <w:rPr>
                <w:rFonts w:cs="Arial"/>
                <w:color w:val="000000"/>
                <w:szCs w:val="20"/>
              </w:rPr>
            </w:pPr>
            <w:r w:rsidRPr="001763AE">
              <w:rPr>
                <w:rFonts w:cs="Arial"/>
                <w:color w:val="000000"/>
                <w:szCs w:val="20"/>
              </w:rPr>
              <w:t>5.80</w:t>
            </w:r>
          </w:p>
        </w:tc>
        <w:tc>
          <w:tcPr>
            <w:tcW w:w="797"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33.30</w:t>
            </w:r>
          </w:p>
        </w:tc>
      </w:tr>
      <w:tr w:rsidR="00B148E7" w:rsidRPr="001763AE" w:rsidTr="00DF5C22">
        <w:trPr>
          <w:trHeight w:val="239"/>
        </w:trPr>
        <w:tc>
          <w:tcPr>
            <w:tcW w:w="342" w:type="pct"/>
            <w:vMerge/>
            <w:hideMark/>
          </w:tcPr>
          <w:p w:rsidR="00B148E7" w:rsidRPr="001763AE" w:rsidRDefault="00B148E7" w:rsidP="00B148E7">
            <w:pPr>
              <w:spacing w:line="240" w:lineRule="auto"/>
              <w:rPr>
                <w:rFonts w:cs="Arial"/>
                <w:b/>
                <w:bCs/>
                <w:color w:val="000000"/>
                <w:szCs w:val="20"/>
              </w:rPr>
            </w:pPr>
          </w:p>
        </w:tc>
        <w:tc>
          <w:tcPr>
            <w:tcW w:w="1438" w:type="pct"/>
            <w:hideMark/>
          </w:tcPr>
          <w:p w:rsidR="00B148E7" w:rsidRPr="001763AE" w:rsidRDefault="00B148E7" w:rsidP="00B148E7">
            <w:pPr>
              <w:spacing w:line="240" w:lineRule="auto"/>
              <w:rPr>
                <w:rFonts w:cs="Arial"/>
                <w:color w:val="000000"/>
                <w:szCs w:val="20"/>
              </w:rPr>
            </w:pPr>
            <w:r w:rsidRPr="001763AE">
              <w:rPr>
                <w:rFonts w:cs="Arial"/>
                <w:color w:val="000000"/>
                <w:szCs w:val="20"/>
              </w:rPr>
              <w:t>Micro-climate stabilization</w:t>
            </w:r>
          </w:p>
        </w:tc>
        <w:tc>
          <w:tcPr>
            <w:tcW w:w="672"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c>
          <w:tcPr>
            <w:tcW w:w="926"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c>
          <w:tcPr>
            <w:tcW w:w="824" w:type="pct"/>
          </w:tcPr>
          <w:p w:rsidR="00B148E7" w:rsidRPr="001763AE" w:rsidRDefault="00B148E7" w:rsidP="00B148E7">
            <w:pPr>
              <w:spacing w:line="240" w:lineRule="auto"/>
              <w:jc w:val="center"/>
              <w:rPr>
                <w:rFonts w:cs="Arial"/>
                <w:color w:val="000000"/>
                <w:szCs w:val="20"/>
              </w:rPr>
            </w:pPr>
            <w:r w:rsidRPr="001763AE">
              <w:rPr>
                <w:rFonts w:cs="Arial"/>
                <w:color w:val="000000"/>
                <w:szCs w:val="20"/>
              </w:rPr>
              <w:t>-</w:t>
            </w:r>
          </w:p>
        </w:tc>
        <w:tc>
          <w:tcPr>
            <w:tcW w:w="797"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r>
      <w:tr w:rsidR="00B148E7" w:rsidRPr="001763AE" w:rsidTr="00DF5C22">
        <w:trPr>
          <w:trHeight w:val="281"/>
        </w:trPr>
        <w:tc>
          <w:tcPr>
            <w:tcW w:w="342" w:type="pct"/>
            <w:vMerge/>
            <w:hideMark/>
          </w:tcPr>
          <w:p w:rsidR="00B148E7" w:rsidRPr="001763AE" w:rsidRDefault="00B148E7" w:rsidP="00B148E7">
            <w:pPr>
              <w:spacing w:line="240" w:lineRule="auto"/>
              <w:rPr>
                <w:rFonts w:cs="Arial"/>
                <w:b/>
                <w:bCs/>
                <w:color w:val="000000"/>
                <w:szCs w:val="20"/>
              </w:rPr>
            </w:pPr>
          </w:p>
        </w:tc>
        <w:tc>
          <w:tcPr>
            <w:tcW w:w="1438" w:type="pct"/>
            <w:hideMark/>
          </w:tcPr>
          <w:p w:rsidR="00B148E7" w:rsidRPr="001763AE" w:rsidRDefault="00B148E7" w:rsidP="00B148E7">
            <w:pPr>
              <w:spacing w:line="240" w:lineRule="auto"/>
              <w:rPr>
                <w:rFonts w:cs="Arial"/>
                <w:color w:val="000000"/>
                <w:szCs w:val="20"/>
              </w:rPr>
            </w:pPr>
            <w:r w:rsidRPr="001763AE">
              <w:rPr>
                <w:rFonts w:cs="Arial"/>
                <w:color w:val="000000"/>
                <w:szCs w:val="20"/>
              </w:rPr>
              <w:t xml:space="preserve">Soil erosion and water regulation (storage and retention) related to disaster mitigation </w:t>
            </w:r>
          </w:p>
        </w:tc>
        <w:tc>
          <w:tcPr>
            <w:tcW w:w="672"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10.80</w:t>
            </w:r>
          </w:p>
        </w:tc>
        <w:tc>
          <w:tcPr>
            <w:tcW w:w="926"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14.40</w:t>
            </w:r>
          </w:p>
        </w:tc>
        <w:tc>
          <w:tcPr>
            <w:tcW w:w="824" w:type="pct"/>
          </w:tcPr>
          <w:p w:rsidR="00B148E7" w:rsidRPr="001763AE" w:rsidRDefault="00B148E7" w:rsidP="00B148E7">
            <w:pPr>
              <w:spacing w:line="240" w:lineRule="auto"/>
              <w:jc w:val="center"/>
              <w:rPr>
                <w:rFonts w:cs="Arial"/>
                <w:color w:val="000000"/>
                <w:szCs w:val="20"/>
              </w:rPr>
            </w:pPr>
            <w:r w:rsidRPr="001763AE">
              <w:rPr>
                <w:rFonts w:cs="Arial"/>
                <w:color w:val="000000"/>
                <w:szCs w:val="20"/>
              </w:rPr>
              <w:t>3.60</w:t>
            </w:r>
          </w:p>
        </w:tc>
        <w:tc>
          <w:tcPr>
            <w:tcW w:w="797"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17.50</w:t>
            </w:r>
          </w:p>
        </w:tc>
      </w:tr>
      <w:tr w:rsidR="00B148E7" w:rsidRPr="001763AE" w:rsidTr="00DF5C22">
        <w:trPr>
          <w:trHeight w:val="275"/>
        </w:trPr>
        <w:tc>
          <w:tcPr>
            <w:tcW w:w="342" w:type="pct"/>
            <w:vMerge/>
            <w:hideMark/>
          </w:tcPr>
          <w:p w:rsidR="00B148E7" w:rsidRPr="001763AE" w:rsidRDefault="00B148E7" w:rsidP="00B148E7">
            <w:pPr>
              <w:spacing w:line="240" w:lineRule="auto"/>
              <w:rPr>
                <w:rFonts w:cs="Arial"/>
                <w:b/>
                <w:bCs/>
                <w:color w:val="000000"/>
                <w:szCs w:val="20"/>
              </w:rPr>
            </w:pPr>
          </w:p>
        </w:tc>
        <w:tc>
          <w:tcPr>
            <w:tcW w:w="1438" w:type="pct"/>
            <w:hideMark/>
          </w:tcPr>
          <w:p w:rsidR="00B148E7" w:rsidRPr="001763AE" w:rsidRDefault="00B148E7" w:rsidP="00B148E7">
            <w:pPr>
              <w:spacing w:line="240" w:lineRule="auto"/>
              <w:rPr>
                <w:rFonts w:cs="Arial"/>
                <w:color w:val="000000"/>
                <w:szCs w:val="20"/>
              </w:rPr>
            </w:pPr>
            <w:r w:rsidRPr="001763AE">
              <w:rPr>
                <w:rFonts w:cs="Arial"/>
                <w:color w:val="000000"/>
                <w:szCs w:val="20"/>
              </w:rPr>
              <w:t>Nutrient retention</w:t>
            </w:r>
          </w:p>
        </w:tc>
        <w:tc>
          <w:tcPr>
            <w:tcW w:w="672"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c>
          <w:tcPr>
            <w:tcW w:w="926"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c>
          <w:tcPr>
            <w:tcW w:w="824" w:type="pct"/>
          </w:tcPr>
          <w:p w:rsidR="00B148E7" w:rsidRPr="001763AE" w:rsidRDefault="00B148E7" w:rsidP="00B148E7">
            <w:pPr>
              <w:spacing w:line="240" w:lineRule="auto"/>
              <w:jc w:val="center"/>
              <w:rPr>
                <w:rFonts w:cs="Arial"/>
                <w:color w:val="000000"/>
                <w:szCs w:val="20"/>
              </w:rPr>
            </w:pPr>
            <w:r w:rsidRPr="001763AE">
              <w:rPr>
                <w:rFonts w:cs="Arial"/>
                <w:color w:val="000000"/>
                <w:szCs w:val="20"/>
              </w:rPr>
              <w:t>-</w:t>
            </w:r>
          </w:p>
        </w:tc>
        <w:tc>
          <w:tcPr>
            <w:tcW w:w="797"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r>
      <w:tr w:rsidR="00B148E7" w:rsidRPr="001763AE" w:rsidTr="00DF5C22">
        <w:trPr>
          <w:trHeight w:val="406"/>
        </w:trPr>
        <w:tc>
          <w:tcPr>
            <w:tcW w:w="342" w:type="pct"/>
            <w:vMerge w:val="restart"/>
            <w:textDirection w:val="btLr"/>
            <w:hideMark/>
          </w:tcPr>
          <w:p w:rsidR="00B148E7" w:rsidRPr="001763AE" w:rsidRDefault="00B148E7" w:rsidP="00B148E7">
            <w:pPr>
              <w:spacing w:line="240" w:lineRule="auto"/>
              <w:ind w:left="113" w:right="113"/>
              <w:rPr>
                <w:rFonts w:cs="Arial"/>
                <w:b/>
                <w:bCs/>
                <w:color w:val="000000"/>
                <w:szCs w:val="20"/>
              </w:rPr>
            </w:pPr>
            <w:r w:rsidRPr="001763AE">
              <w:rPr>
                <w:rFonts w:cs="Arial"/>
                <w:b/>
                <w:bCs/>
                <w:color w:val="000000"/>
                <w:szCs w:val="20"/>
              </w:rPr>
              <w:t xml:space="preserve">Cultural Services </w:t>
            </w:r>
          </w:p>
        </w:tc>
        <w:tc>
          <w:tcPr>
            <w:tcW w:w="1438" w:type="pct"/>
            <w:hideMark/>
          </w:tcPr>
          <w:p w:rsidR="00B148E7" w:rsidRPr="001763AE" w:rsidRDefault="00B148E7" w:rsidP="00B148E7">
            <w:pPr>
              <w:spacing w:line="240" w:lineRule="auto"/>
              <w:rPr>
                <w:rFonts w:cs="Arial"/>
                <w:color w:val="000000"/>
                <w:szCs w:val="20"/>
              </w:rPr>
            </w:pPr>
            <w:r w:rsidRPr="001763AE">
              <w:rPr>
                <w:rFonts w:cs="Arial"/>
                <w:color w:val="000000"/>
                <w:szCs w:val="20"/>
              </w:rPr>
              <w:t>Spiritual, religious, cultural heritage</w:t>
            </w:r>
          </w:p>
        </w:tc>
        <w:tc>
          <w:tcPr>
            <w:tcW w:w="672"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c>
          <w:tcPr>
            <w:tcW w:w="926"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c>
          <w:tcPr>
            <w:tcW w:w="824" w:type="pct"/>
          </w:tcPr>
          <w:p w:rsidR="00B148E7" w:rsidRPr="001763AE" w:rsidRDefault="00B148E7" w:rsidP="00B148E7">
            <w:pPr>
              <w:spacing w:line="240" w:lineRule="auto"/>
              <w:jc w:val="center"/>
              <w:rPr>
                <w:rFonts w:cs="Arial"/>
                <w:color w:val="000000"/>
                <w:szCs w:val="20"/>
              </w:rPr>
            </w:pPr>
            <w:r w:rsidRPr="001763AE">
              <w:rPr>
                <w:rFonts w:cs="Arial"/>
                <w:color w:val="000000"/>
                <w:szCs w:val="20"/>
              </w:rPr>
              <w:t>-</w:t>
            </w:r>
          </w:p>
        </w:tc>
        <w:tc>
          <w:tcPr>
            <w:tcW w:w="797"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r>
      <w:tr w:rsidR="00B148E7" w:rsidRPr="001763AE" w:rsidTr="00DF5C22">
        <w:trPr>
          <w:trHeight w:val="413"/>
        </w:trPr>
        <w:tc>
          <w:tcPr>
            <w:tcW w:w="342" w:type="pct"/>
            <w:vMerge/>
            <w:hideMark/>
          </w:tcPr>
          <w:p w:rsidR="00B148E7" w:rsidRPr="001763AE" w:rsidRDefault="00B148E7" w:rsidP="00B148E7">
            <w:pPr>
              <w:spacing w:line="240" w:lineRule="auto"/>
              <w:rPr>
                <w:rFonts w:cs="Arial"/>
                <w:b/>
                <w:bCs/>
                <w:color w:val="000000"/>
                <w:szCs w:val="20"/>
              </w:rPr>
            </w:pPr>
          </w:p>
        </w:tc>
        <w:tc>
          <w:tcPr>
            <w:tcW w:w="1438" w:type="pct"/>
            <w:hideMark/>
          </w:tcPr>
          <w:p w:rsidR="00B148E7" w:rsidRPr="001763AE" w:rsidRDefault="00B148E7" w:rsidP="00B148E7">
            <w:pPr>
              <w:spacing w:line="240" w:lineRule="auto"/>
              <w:rPr>
                <w:rFonts w:cs="Arial"/>
                <w:color w:val="000000"/>
                <w:szCs w:val="20"/>
              </w:rPr>
            </w:pPr>
            <w:r w:rsidRPr="001763AE">
              <w:rPr>
                <w:rFonts w:cs="Arial"/>
                <w:color w:val="000000"/>
                <w:szCs w:val="20"/>
              </w:rPr>
              <w:t xml:space="preserve">Educational </w:t>
            </w:r>
          </w:p>
        </w:tc>
        <w:tc>
          <w:tcPr>
            <w:tcW w:w="672"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c>
          <w:tcPr>
            <w:tcW w:w="926"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c>
          <w:tcPr>
            <w:tcW w:w="824" w:type="pct"/>
          </w:tcPr>
          <w:p w:rsidR="00B148E7" w:rsidRPr="001763AE" w:rsidRDefault="00B148E7" w:rsidP="00B148E7">
            <w:pPr>
              <w:spacing w:line="240" w:lineRule="auto"/>
              <w:jc w:val="center"/>
              <w:rPr>
                <w:rFonts w:cs="Arial"/>
                <w:color w:val="000000"/>
                <w:szCs w:val="20"/>
              </w:rPr>
            </w:pPr>
            <w:r w:rsidRPr="001763AE">
              <w:rPr>
                <w:rFonts w:cs="Arial"/>
                <w:color w:val="000000"/>
                <w:szCs w:val="20"/>
              </w:rPr>
              <w:t>-</w:t>
            </w:r>
          </w:p>
        </w:tc>
        <w:tc>
          <w:tcPr>
            <w:tcW w:w="797"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r>
      <w:tr w:rsidR="00B148E7" w:rsidRPr="001763AE" w:rsidTr="00DF5C22">
        <w:trPr>
          <w:trHeight w:val="335"/>
        </w:trPr>
        <w:tc>
          <w:tcPr>
            <w:tcW w:w="342" w:type="pct"/>
            <w:vMerge/>
            <w:hideMark/>
          </w:tcPr>
          <w:p w:rsidR="00B148E7" w:rsidRPr="001763AE" w:rsidRDefault="00B148E7" w:rsidP="00B148E7">
            <w:pPr>
              <w:spacing w:line="240" w:lineRule="auto"/>
              <w:rPr>
                <w:rFonts w:cs="Arial"/>
                <w:b/>
                <w:bCs/>
                <w:color w:val="000000"/>
                <w:szCs w:val="20"/>
              </w:rPr>
            </w:pPr>
          </w:p>
        </w:tc>
        <w:tc>
          <w:tcPr>
            <w:tcW w:w="1438" w:type="pct"/>
            <w:hideMark/>
          </w:tcPr>
          <w:p w:rsidR="00B148E7" w:rsidRPr="001763AE" w:rsidRDefault="00B148E7" w:rsidP="00B148E7">
            <w:pPr>
              <w:spacing w:line="240" w:lineRule="auto"/>
              <w:rPr>
                <w:rFonts w:cs="Arial"/>
                <w:color w:val="000000"/>
                <w:szCs w:val="20"/>
              </w:rPr>
            </w:pPr>
            <w:r w:rsidRPr="001763AE">
              <w:rPr>
                <w:rFonts w:cs="Arial"/>
                <w:color w:val="000000"/>
                <w:szCs w:val="20"/>
              </w:rPr>
              <w:t>Recreation and ecotourism</w:t>
            </w:r>
          </w:p>
        </w:tc>
        <w:tc>
          <w:tcPr>
            <w:tcW w:w="672"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787.20</w:t>
            </w:r>
          </w:p>
        </w:tc>
        <w:tc>
          <w:tcPr>
            <w:tcW w:w="926"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1,282.90</w:t>
            </w:r>
          </w:p>
        </w:tc>
        <w:tc>
          <w:tcPr>
            <w:tcW w:w="824" w:type="pct"/>
          </w:tcPr>
          <w:p w:rsidR="00B148E7" w:rsidRPr="001763AE" w:rsidRDefault="00B148E7" w:rsidP="00B148E7">
            <w:pPr>
              <w:spacing w:line="240" w:lineRule="auto"/>
              <w:jc w:val="center"/>
              <w:rPr>
                <w:rFonts w:cs="Arial"/>
                <w:color w:val="000000"/>
                <w:szCs w:val="20"/>
              </w:rPr>
            </w:pPr>
            <w:r w:rsidRPr="001763AE">
              <w:rPr>
                <w:rFonts w:cs="Arial"/>
                <w:color w:val="000000"/>
                <w:szCs w:val="20"/>
              </w:rPr>
              <w:t>494.8</w:t>
            </w:r>
            <w:r w:rsidR="00D03F75">
              <w:rPr>
                <w:rFonts w:cs="Arial"/>
                <w:color w:val="000000"/>
                <w:szCs w:val="20"/>
              </w:rPr>
              <w:t>0</w:t>
            </w:r>
          </w:p>
        </w:tc>
        <w:tc>
          <w:tcPr>
            <w:tcW w:w="797"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2,626.80</w:t>
            </w:r>
          </w:p>
        </w:tc>
      </w:tr>
      <w:tr w:rsidR="00B148E7" w:rsidRPr="001763AE" w:rsidTr="00DF5C22">
        <w:trPr>
          <w:trHeight w:val="424"/>
        </w:trPr>
        <w:tc>
          <w:tcPr>
            <w:tcW w:w="342" w:type="pct"/>
            <w:vMerge/>
            <w:hideMark/>
          </w:tcPr>
          <w:p w:rsidR="00B148E7" w:rsidRPr="001763AE" w:rsidRDefault="00B148E7" w:rsidP="00B148E7">
            <w:pPr>
              <w:spacing w:line="240" w:lineRule="auto"/>
              <w:rPr>
                <w:rFonts w:cs="Arial"/>
                <w:b/>
                <w:bCs/>
                <w:color w:val="000000"/>
                <w:szCs w:val="20"/>
              </w:rPr>
            </w:pPr>
          </w:p>
        </w:tc>
        <w:tc>
          <w:tcPr>
            <w:tcW w:w="1438" w:type="pct"/>
            <w:hideMark/>
          </w:tcPr>
          <w:p w:rsidR="00B148E7" w:rsidRPr="001763AE" w:rsidRDefault="00B148E7" w:rsidP="00B148E7">
            <w:pPr>
              <w:spacing w:line="240" w:lineRule="auto"/>
              <w:rPr>
                <w:rFonts w:cs="Arial"/>
                <w:color w:val="000000"/>
                <w:szCs w:val="20"/>
              </w:rPr>
            </w:pPr>
            <w:r w:rsidRPr="001763AE">
              <w:rPr>
                <w:rFonts w:cs="Arial"/>
                <w:color w:val="000000"/>
                <w:szCs w:val="20"/>
              </w:rPr>
              <w:t xml:space="preserve">Landscape and amenity </w:t>
            </w:r>
          </w:p>
        </w:tc>
        <w:tc>
          <w:tcPr>
            <w:tcW w:w="672"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c>
          <w:tcPr>
            <w:tcW w:w="926"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c>
          <w:tcPr>
            <w:tcW w:w="824" w:type="pct"/>
          </w:tcPr>
          <w:p w:rsidR="00B148E7" w:rsidRPr="001763AE" w:rsidRDefault="00B148E7" w:rsidP="00B148E7">
            <w:pPr>
              <w:spacing w:line="240" w:lineRule="auto"/>
              <w:jc w:val="center"/>
              <w:rPr>
                <w:rFonts w:cs="Arial"/>
                <w:color w:val="000000"/>
                <w:szCs w:val="20"/>
              </w:rPr>
            </w:pPr>
            <w:r w:rsidRPr="001763AE">
              <w:rPr>
                <w:rFonts w:cs="Arial"/>
                <w:color w:val="000000"/>
                <w:szCs w:val="20"/>
              </w:rPr>
              <w:t>-</w:t>
            </w:r>
          </w:p>
        </w:tc>
        <w:tc>
          <w:tcPr>
            <w:tcW w:w="797"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r>
      <w:tr w:rsidR="00B148E7" w:rsidRPr="001763AE" w:rsidTr="00DF5C22">
        <w:trPr>
          <w:trHeight w:val="261"/>
        </w:trPr>
        <w:tc>
          <w:tcPr>
            <w:tcW w:w="342" w:type="pct"/>
            <w:vMerge/>
            <w:hideMark/>
          </w:tcPr>
          <w:p w:rsidR="00B148E7" w:rsidRPr="001763AE" w:rsidRDefault="00B148E7" w:rsidP="00B148E7">
            <w:pPr>
              <w:spacing w:line="240" w:lineRule="auto"/>
              <w:rPr>
                <w:rFonts w:cs="Arial"/>
                <w:b/>
                <w:bCs/>
                <w:color w:val="000000"/>
                <w:szCs w:val="20"/>
              </w:rPr>
            </w:pPr>
          </w:p>
        </w:tc>
        <w:tc>
          <w:tcPr>
            <w:tcW w:w="1438" w:type="pct"/>
            <w:hideMark/>
          </w:tcPr>
          <w:p w:rsidR="00B148E7" w:rsidRPr="001763AE" w:rsidRDefault="00B148E7" w:rsidP="00B148E7">
            <w:pPr>
              <w:spacing w:line="240" w:lineRule="auto"/>
              <w:rPr>
                <w:rFonts w:cs="Arial"/>
                <w:color w:val="000000"/>
                <w:szCs w:val="20"/>
              </w:rPr>
            </w:pPr>
            <w:r w:rsidRPr="001763AE">
              <w:rPr>
                <w:rFonts w:cs="Arial"/>
                <w:color w:val="000000"/>
                <w:szCs w:val="20"/>
              </w:rPr>
              <w:t>Biodiversity non-use</w:t>
            </w:r>
          </w:p>
        </w:tc>
        <w:tc>
          <w:tcPr>
            <w:tcW w:w="672"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c>
          <w:tcPr>
            <w:tcW w:w="926"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c>
          <w:tcPr>
            <w:tcW w:w="824" w:type="pct"/>
          </w:tcPr>
          <w:p w:rsidR="00B148E7" w:rsidRPr="001763AE" w:rsidRDefault="00B148E7" w:rsidP="00B148E7">
            <w:pPr>
              <w:spacing w:line="240" w:lineRule="auto"/>
              <w:jc w:val="center"/>
              <w:rPr>
                <w:rFonts w:cs="Arial"/>
                <w:color w:val="000000"/>
                <w:szCs w:val="20"/>
              </w:rPr>
            </w:pPr>
            <w:r w:rsidRPr="001763AE">
              <w:rPr>
                <w:rFonts w:cs="Arial"/>
                <w:color w:val="000000"/>
                <w:szCs w:val="20"/>
              </w:rPr>
              <w:t>-</w:t>
            </w:r>
          </w:p>
        </w:tc>
        <w:tc>
          <w:tcPr>
            <w:tcW w:w="797" w:type="pct"/>
            <w:hideMark/>
          </w:tcPr>
          <w:p w:rsidR="00B148E7" w:rsidRPr="001763AE" w:rsidRDefault="00B148E7" w:rsidP="00B148E7">
            <w:pPr>
              <w:spacing w:line="240" w:lineRule="auto"/>
              <w:jc w:val="center"/>
              <w:rPr>
                <w:rFonts w:cs="Arial"/>
                <w:color w:val="000000"/>
                <w:szCs w:val="20"/>
              </w:rPr>
            </w:pPr>
            <w:r w:rsidRPr="001763AE">
              <w:rPr>
                <w:rFonts w:cs="Arial"/>
                <w:color w:val="000000"/>
                <w:szCs w:val="20"/>
              </w:rPr>
              <w:t>0.00</w:t>
            </w:r>
          </w:p>
        </w:tc>
      </w:tr>
      <w:tr w:rsidR="00B148E7" w:rsidRPr="001763AE" w:rsidTr="00DF5C22">
        <w:trPr>
          <w:trHeight w:val="261"/>
        </w:trPr>
        <w:tc>
          <w:tcPr>
            <w:tcW w:w="342" w:type="pct"/>
            <w:hideMark/>
          </w:tcPr>
          <w:p w:rsidR="00B148E7" w:rsidRPr="001763AE" w:rsidRDefault="00B148E7" w:rsidP="00B148E7">
            <w:pPr>
              <w:spacing w:line="240" w:lineRule="auto"/>
              <w:rPr>
                <w:rFonts w:cs="Arial"/>
                <w:b/>
                <w:bCs/>
                <w:color w:val="000000"/>
                <w:szCs w:val="20"/>
              </w:rPr>
            </w:pPr>
          </w:p>
        </w:tc>
        <w:tc>
          <w:tcPr>
            <w:tcW w:w="1438" w:type="pct"/>
            <w:hideMark/>
          </w:tcPr>
          <w:p w:rsidR="00B148E7" w:rsidRPr="001763AE" w:rsidRDefault="00B148E7" w:rsidP="00B148E7">
            <w:pPr>
              <w:spacing w:line="240" w:lineRule="auto"/>
              <w:rPr>
                <w:rFonts w:cs="Arial"/>
                <w:b/>
                <w:color w:val="000000"/>
                <w:szCs w:val="20"/>
              </w:rPr>
            </w:pPr>
            <w:r w:rsidRPr="001763AE">
              <w:rPr>
                <w:rFonts w:cs="Arial"/>
                <w:b/>
                <w:color w:val="000000"/>
                <w:szCs w:val="20"/>
              </w:rPr>
              <w:t>TOTAL</w:t>
            </w:r>
          </w:p>
        </w:tc>
        <w:tc>
          <w:tcPr>
            <w:tcW w:w="672" w:type="pct"/>
            <w:hideMark/>
          </w:tcPr>
          <w:p w:rsidR="00B148E7" w:rsidRPr="001763AE" w:rsidRDefault="00B148E7" w:rsidP="00B148E7">
            <w:pPr>
              <w:spacing w:line="240" w:lineRule="auto"/>
              <w:jc w:val="center"/>
              <w:rPr>
                <w:rFonts w:cs="Arial"/>
                <w:b/>
                <w:color w:val="000000"/>
                <w:szCs w:val="20"/>
              </w:rPr>
            </w:pPr>
            <w:r w:rsidRPr="001763AE">
              <w:rPr>
                <w:rFonts w:cs="Arial"/>
                <w:b/>
                <w:color w:val="000000"/>
                <w:szCs w:val="20"/>
              </w:rPr>
              <w:t>1,440.70</w:t>
            </w:r>
          </w:p>
        </w:tc>
        <w:tc>
          <w:tcPr>
            <w:tcW w:w="926" w:type="pct"/>
            <w:hideMark/>
          </w:tcPr>
          <w:p w:rsidR="00B148E7" w:rsidRPr="001763AE" w:rsidRDefault="00B148E7" w:rsidP="00B148E7">
            <w:pPr>
              <w:spacing w:line="240" w:lineRule="auto"/>
              <w:jc w:val="center"/>
              <w:rPr>
                <w:rFonts w:cs="Arial"/>
                <w:b/>
                <w:color w:val="000000"/>
                <w:szCs w:val="20"/>
              </w:rPr>
            </w:pPr>
            <w:r w:rsidRPr="001763AE">
              <w:rPr>
                <w:rFonts w:cs="Arial"/>
                <w:b/>
                <w:color w:val="000000"/>
                <w:szCs w:val="20"/>
              </w:rPr>
              <w:t>2,000.60</w:t>
            </w:r>
          </w:p>
        </w:tc>
        <w:tc>
          <w:tcPr>
            <w:tcW w:w="824" w:type="pct"/>
          </w:tcPr>
          <w:p w:rsidR="00B148E7" w:rsidRPr="001763AE" w:rsidRDefault="00B148E7" w:rsidP="00B148E7">
            <w:pPr>
              <w:spacing w:line="240" w:lineRule="auto"/>
              <w:jc w:val="center"/>
              <w:rPr>
                <w:rFonts w:cs="Arial"/>
                <w:b/>
                <w:color w:val="000000"/>
                <w:szCs w:val="20"/>
              </w:rPr>
            </w:pPr>
            <w:r w:rsidRPr="001763AE">
              <w:rPr>
                <w:rFonts w:cs="Arial"/>
                <w:b/>
                <w:color w:val="000000"/>
                <w:szCs w:val="20"/>
              </w:rPr>
              <w:t>556.40</w:t>
            </w:r>
          </w:p>
        </w:tc>
        <w:tc>
          <w:tcPr>
            <w:tcW w:w="797" w:type="pct"/>
            <w:hideMark/>
          </w:tcPr>
          <w:p w:rsidR="00B148E7" w:rsidRPr="001763AE" w:rsidRDefault="00B148E7" w:rsidP="00B148E7">
            <w:pPr>
              <w:spacing w:line="240" w:lineRule="auto"/>
              <w:jc w:val="center"/>
              <w:rPr>
                <w:rFonts w:cs="Arial"/>
                <w:b/>
                <w:color w:val="000000"/>
                <w:szCs w:val="20"/>
              </w:rPr>
            </w:pPr>
            <w:r w:rsidRPr="001763AE">
              <w:rPr>
                <w:rFonts w:cs="Arial"/>
                <w:b/>
                <w:color w:val="000000"/>
                <w:szCs w:val="20"/>
              </w:rPr>
              <w:t>2,794</w:t>
            </w:r>
            <w:r w:rsidR="00BC4A12">
              <w:rPr>
                <w:rFonts w:cs="Arial"/>
                <w:b/>
                <w:color w:val="000000"/>
                <w:szCs w:val="20"/>
              </w:rPr>
              <w:t>.1</w:t>
            </w:r>
            <w:r w:rsidRPr="001763AE">
              <w:rPr>
                <w:rFonts w:cs="Arial"/>
                <w:b/>
                <w:color w:val="000000"/>
                <w:szCs w:val="20"/>
              </w:rPr>
              <w:t>0</w:t>
            </w:r>
          </w:p>
        </w:tc>
      </w:tr>
    </w:tbl>
    <w:p w:rsidR="00427F20" w:rsidRPr="001763AE" w:rsidRDefault="000B76C4" w:rsidP="00DB28F8">
      <w:pPr>
        <w:pStyle w:val="NumberedPara"/>
        <w:numPr>
          <w:ilvl w:val="0"/>
          <w:numId w:val="0"/>
        </w:numPr>
      </w:pPr>
      <w:r w:rsidRPr="001763AE">
        <w:t>The study</w:t>
      </w:r>
      <w:r w:rsidR="002E07E3" w:rsidRPr="001763AE">
        <w:t xml:space="preserve"> has </w:t>
      </w:r>
      <w:r w:rsidR="003D1486" w:rsidRPr="001763AE">
        <w:t>generated a lot of interest</w:t>
      </w:r>
      <w:r w:rsidR="00CB1233" w:rsidRPr="001763AE">
        <w:t xml:space="preserve"> and </w:t>
      </w:r>
      <w:r w:rsidR="00D03F75">
        <w:t xml:space="preserve">positive impressions </w:t>
      </w:r>
      <w:r w:rsidR="00CB1233" w:rsidRPr="001763AE">
        <w:t>at the potential values</w:t>
      </w:r>
      <w:r w:rsidR="00877E20" w:rsidRPr="001763AE">
        <w:t xml:space="preserve"> of protected areas</w:t>
      </w:r>
      <w:r w:rsidR="00CB1233" w:rsidRPr="001763AE">
        <w:t xml:space="preserve">, but </w:t>
      </w:r>
      <w:r w:rsidR="00877E20" w:rsidRPr="001763AE">
        <w:t xml:space="preserve">has </w:t>
      </w:r>
      <w:r w:rsidR="003D1486" w:rsidRPr="001763AE">
        <w:t>also a</w:t>
      </w:r>
      <w:r w:rsidR="002E07E3" w:rsidRPr="001763AE">
        <w:t xml:space="preserve">ttracted </w:t>
      </w:r>
      <w:r w:rsidR="003D1486" w:rsidRPr="001763AE">
        <w:t xml:space="preserve">some </w:t>
      </w:r>
      <w:r w:rsidR="00CB1233" w:rsidRPr="001763AE">
        <w:t>criticisms</w:t>
      </w:r>
      <w:r w:rsidR="00427F20" w:rsidRPr="001763AE">
        <w:t xml:space="preserve">. </w:t>
      </w:r>
      <w:r w:rsidR="00CB1233" w:rsidRPr="001763AE">
        <w:t xml:space="preserve">Some </w:t>
      </w:r>
      <w:r w:rsidR="008213AA" w:rsidRPr="001763AE">
        <w:t xml:space="preserve">respondents </w:t>
      </w:r>
      <w:r w:rsidR="00CB1233" w:rsidRPr="001763AE">
        <w:t xml:space="preserve">felt </w:t>
      </w:r>
      <w:r w:rsidR="00D96855" w:rsidRPr="001763AE">
        <w:t xml:space="preserve">the study could have usefully considered other valuation methodologies </w:t>
      </w:r>
      <w:r w:rsidR="003C009B" w:rsidRPr="001763AE">
        <w:t>and approaches</w:t>
      </w:r>
      <w:r w:rsidR="00BD1480" w:rsidRPr="001763AE">
        <w:t xml:space="preserve"> alongside the </w:t>
      </w:r>
      <w:r w:rsidR="00CB1233" w:rsidRPr="001763AE">
        <w:t xml:space="preserve">SSA </w:t>
      </w:r>
      <w:r w:rsidR="00BD1480" w:rsidRPr="001763AE">
        <w:t>approach</w:t>
      </w:r>
      <w:r w:rsidR="006F7CC0" w:rsidRPr="001763AE">
        <w:t>; while the project team did consider this, it was decided that it would necessitate more data gathering and processing and would not have altered the final result in any significant way. Concerns were also expressed</w:t>
      </w:r>
      <w:r w:rsidR="00BD1480" w:rsidRPr="001763AE">
        <w:t xml:space="preserve"> that insufficient attention was given to adapting the </w:t>
      </w:r>
      <w:r w:rsidR="00877E20" w:rsidRPr="001763AE">
        <w:t xml:space="preserve">SSA </w:t>
      </w:r>
      <w:r w:rsidR="00BD1480" w:rsidRPr="001763AE">
        <w:t>approach to the situation in Romania and to taking into consideration input from national and local stakeholders</w:t>
      </w:r>
      <w:r w:rsidR="00427F20" w:rsidRPr="001763AE">
        <w:t xml:space="preserve">. </w:t>
      </w:r>
      <w:r w:rsidR="00BD1480" w:rsidRPr="001763AE">
        <w:t xml:space="preserve">The counterargument </w:t>
      </w:r>
      <w:r w:rsidR="00CB1233" w:rsidRPr="001763AE">
        <w:t xml:space="preserve">to this has been </w:t>
      </w:r>
      <w:r w:rsidR="00BD1480" w:rsidRPr="001763AE">
        <w:t xml:space="preserve">that the project was set up to test and use the SSA approach, and that deviating from it </w:t>
      </w:r>
      <w:r w:rsidR="008345E5" w:rsidRPr="001763AE">
        <w:t>c</w:t>
      </w:r>
      <w:r w:rsidR="00BD1480" w:rsidRPr="001763AE">
        <w:t xml:space="preserve">ould have </w:t>
      </w:r>
      <w:r w:rsidR="008345E5" w:rsidRPr="001763AE">
        <w:t>stretched resources too thinly and resulted in several incomplete studies rather than one comprehensive one</w:t>
      </w:r>
      <w:r w:rsidR="00427F20" w:rsidRPr="001763AE">
        <w:t xml:space="preserve">. </w:t>
      </w:r>
      <w:r w:rsidR="003C009B" w:rsidRPr="001763AE">
        <w:t>Some</w:t>
      </w:r>
      <w:r w:rsidR="00D96855" w:rsidRPr="001763AE">
        <w:t xml:space="preserve"> respondents </w:t>
      </w:r>
      <w:r w:rsidR="002E07E3" w:rsidRPr="001763AE">
        <w:t>considered</w:t>
      </w:r>
      <w:r w:rsidR="00D96855" w:rsidRPr="001763AE">
        <w:t xml:space="preserve"> that the </w:t>
      </w:r>
      <w:r w:rsidR="002E07E3" w:rsidRPr="001763AE">
        <w:t xml:space="preserve">assumptions used and resulting values under </w:t>
      </w:r>
      <w:r w:rsidR="00D96855" w:rsidRPr="001763AE">
        <w:t xml:space="preserve">SEM are </w:t>
      </w:r>
      <w:r w:rsidR="002E07E3" w:rsidRPr="001763AE">
        <w:t>too</w:t>
      </w:r>
      <w:r w:rsidR="00D96855" w:rsidRPr="001763AE">
        <w:t xml:space="preserve"> high</w:t>
      </w:r>
      <w:r w:rsidR="002E07E3" w:rsidRPr="001763AE">
        <w:t xml:space="preserve"> to be credible</w:t>
      </w:r>
      <w:r w:rsidR="00427F20" w:rsidRPr="001763AE">
        <w:t xml:space="preserve">. </w:t>
      </w:r>
      <w:r w:rsidR="002E07E3" w:rsidRPr="001763AE">
        <w:t>T</w:t>
      </w:r>
      <w:r w:rsidR="00877E20" w:rsidRPr="001763AE">
        <w:t xml:space="preserve">he report </w:t>
      </w:r>
      <w:r w:rsidR="00D96855" w:rsidRPr="001763AE">
        <w:t>acknowledge</w:t>
      </w:r>
      <w:r w:rsidR="00877E20" w:rsidRPr="001763AE">
        <w:t>s</w:t>
      </w:r>
      <w:r w:rsidR="00D96855" w:rsidRPr="001763AE">
        <w:t xml:space="preserve"> </w:t>
      </w:r>
      <w:r w:rsidR="003C009B" w:rsidRPr="001763AE">
        <w:t xml:space="preserve">that </w:t>
      </w:r>
      <w:r w:rsidR="002E07E3" w:rsidRPr="001763AE">
        <w:t xml:space="preserve">the figures might be overestimated, as </w:t>
      </w:r>
      <w:r w:rsidR="00D96855" w:rsidRPr="001763AE">
        <w:t xml:space="preserve">assumptions and estimates </w:t>
      </w:r>
      <w:r w:rsidR="00877E20" w:rsidRPr="001763AE">
        <w:t xml:space="preserve">were required for </w:t>
      </w:r>
      <w:r w:rsidR="00D03F75">
        <w:t xml:space="preserve">some </w:t>
      </w:r>
      <w:r w:rsidR="00877E20" w:rsidRPr="001763AE">
        <w:t>valuation</w:t>
      </w:r>
      <w:r w:rsidR="002E07E3" w:rsidRPr="001763AE">
        <w:t xml:space="preserve"> calculations</w:t>
      </w:r>
      <w:r w:rsidR="00D03F75">
        <w:t xml:space="preserve">. The report also </w:t>
      </w:r>
      <w:r w:rsidR="00877E20" w:rsidRPr="001763AE">
        <w:t xml:space="preserve">explained </w:t>
      </w:r>
      <w:r w:rsidR="002E07E3" w:rsidRPr="001763AE">
        <w:t xml:space="preserve">that the study should be seen as a starting point </w:t>
      </w:r>
      <w:r w:rsidR="00CB1233" w:rsidRPr="001763AE">
        <w:t xml:space="preserve">for using the approach rather than </w:t>
      </w:r>
      <w:r w:rsidR="006C3696" w:rsidRPr="001763AE">
        <w:t>a definitive evaluation, and that future studies should work to refine the estimates</w:t>
      </w:r>
      <w:r w:rsidR="00427F20" w:rsidRPr="001763AE">
        <w:t xml:space="preserve">. </w:t>
      </w:r>
      <w:r w:rsidR="00237516" w:rsidRPr="001763AE">
        <w:t>However</w:t>
      </w:r>
      <w:r w:rsidR="00D03F75">
        <w:t>,</w:t>
      </w:r>
      <w:r w:rsidR="00237516" w:rsidRPr="001763AE">
        <w:t xml:space="preserve"> </w:t>
      </w:r>
      <w:r w:rsidR="00375459" w:rsidRPr="001763AE">
        <w:t xml:space="preserve">it is usual for readers of such studies </w:t>
      </w:r>
      <w:r w:rsidR="00237516" w:rsidRPr="001763AE">
        <w:t xml:space="preserve">to focus on the headline figures and not the underlying rationale. </w:t>
      </w:r>
      <w:r w:rsidR="00FF5180" w:rsidRPr="001763AE">
        <w:t xml:space="preserve">Ideally, and had resources been available, it might </w:t>
      </w:r>
      <w:r w:rsidR="00CB1233" w:rsidRPr="001763AE">
        <w:t>have been productive to conduct a much more in depth study of one protected area (or one sector) in order to ‘calibrate’ the overall results</w:t>
      </w:r>
      <w:r w:rsidR="00427F20" w:rsidRPr="001763AE">
        <w:t>.</w:t>
      </w:r>
    </w:p>
    <w:p w:rsidR="00427F20" w:rsidRPr="001763AE" w:rsidRDefault="006C3696" w:rsidP="00DB28F8">
      <w:pPr>
        <w:pStyle w:val="NumberedPara"/>
        <w:numPr>
          <w:ilvl w:val="0"/>
          <w:numId w:val="0"/>
        </w:numPr>
      </w:pPr>
      <w:r w:rsidRPr="001763AE">
        <w:t>Although t</w:t>
      </w:r>
      <w:r w:rsidR="00D96855" w:rsidRPr="001763AE">
        <w:t>he study recognises</w:t>
      </w:r>
      <w:r w:rsidRPr="001763AE">
        <w:t xml:space="preserve"> that</w:t>
      </w:r>
      <w:r w:rsidR="003C009B" w:rsidRPr="001763AE">
        <w:t xml:space="preserve"> shifting from BAU to </w:t>
      </w:r>
      <w:r w:rsidR="00D96855" w:rsidRPr="001763AE">
        <w:t xml:space="preserve">SEM </w:t>
      </w:r>
      <w:r w:rsidR="00877E20" w:rsidRPr="001763AE">
        <w:t>incurs</w:t>
      </w:r>
      <w:r w:rsidR="00D96855" w:rsidRPr="001763AE">
        <w:t xml:space="preserve"> costs, </w:t>
      </w:r>
      <w:r w:rsidRPr="001763AE">
        <w:t>it</w:t>
      </w:r>
      <w:r w:rsidR="00D96855" w:rsidRPr="001763AE">
        <w:t xml:space="preserve"> does not calculate those costs </w:t>
      </w:r>
      <w:r w:rsidR="003C009B" w:rsidRPr="001763AE">
        <w:t xml:space="preserve">in detail </w:t>
      </w:r>
      <w:r w:rsidR="00D96855" w:rsidRPr="001763AE">
        <w:t xml:space="preserve">or include them in the scenarios, </w:t>
      </w:r>
      <w:r w:rsidR="00375459" w:rsidRPr="001763AE">
        <w:t xml:space="preserve">merely </w:t>
      </w:r>
      <w:r w:rsidR="00D96855" w:rsidRPr="001763AE">
        <w:t xml:space="preserve">stating that the benefits would greatly outweigh the costs and </w:t>
      </w:r>
      <w:r w:rsidRPr="001763AE">
        <w:t>assuming</w:t>
      </w:r>
      <w:r w:rsidR="003C009B" w:rsidRPr="001763AE">
        <w:t xml:space="preserve"> that many of the infrastructure investment costs </w:t>
      </w:r>
      <w:r w:rsidRPr="001763AE">
        <w:t xml:space="preserve">(especially in the tourism sector) </w:t>
      </w:r>
      <w:r w:rsidR="003C009B" w:rsidRPr="001763AE">
        <w:t>would be covered under externally funded projects</w:t>
      </w:r>
      <w:r w:rsidR="00427F20" w:rsidRPr="001763AE">
        <w:t xml:space="preserve">. </w:t>
      </w:r>
      <w:r w:rsidR="00BA15F5" w:rsidRPr="001763AE">
        <w:t>It would</w:t>
      </w:r>
      <w:r w:rsidR="003C009B" w:rsidRPr="001763AE">
        <w:t xml:space="preserve"> have</w:t>
      </w:r>
      <w:r w:rsidR="004A77FC" w:rsidRPr="001763AE">
        <w:t xml:space="preserve"> strengthened the study and made it more convincing if it had factored in </w:t>
      </w:r>
      <w:r w:rsidR="003C009B" w:rsidRPr="001763AE">
        <w:t xml:space="preserve">the costs of </w:t>
      </w:r>
      <w:r w:rsidR="004A77FC" w:rsidRPr="001763AE">
        <w:t xml:space="preserve">sustainable </w:t>
      </w:r>
      <w:r w:rsidR="003C009B" w:rsidRPr="001763AE">
        <w:t>tourism development in more detail for at least one of the protected areas</w:t>
      </w:r>
      <w:r w:rsidR="004A77FC" w:rsidRPr="001763AE">
        <w:t>, taking into account the need for investments in infrastructure, personnel, capacity development, mitigation of environmental impacts and overheads and running costs</w:t>
      </w:r>
      <w:r w:rsidR="00427F20" w:rsidRPr="001763AE">
        <w:t>.</w:t>
      </w:r>
    </w:p>
    <w:p w:rsidR="00427F20" w:rsidRPr="001763AE" w:rsidRDefault="00DF79CD" w:rsidP="00DB28F8">
      <w:pPr>
        <w:pStyle w:val="NumberedPara"/>
        <w:numPr>
          <w:ilvl w:val="0"/>
          <w:numId w:val="0"/>
        </w:numPr>
      </w:pPr>
      <w:r w:rsidRPr="001763AE">
        <w:t>T</w:t>
      </w:r>
      <w:r w:rsidR="00431C16" w:rsidRPr="001763AE">
        <w:t xml:space="preserve">he study </w:t>
      </w:r>
      <w:r w:rsidR="00380FDB" w:rsidRPr="001763AE">
        <w:t xml:space="preserve">does not </w:t>
      </w:r>
      <w:r w:rsidR="00040F9B" w:rsidRPr="001763AE">
        <w:t>assess</w:t>
      </w:r>
      <w:r w:rsidR="00380FDB" w:rsidRPr="001763AE">
        <w:t xml:space="preserve"> </w:t>
      </w:r>
      <w:r w:rsidR="00877E20" w:rsidRPr="001763AE">
        <w:t xml:space="preserve">the </w:t>
      </w:r>
      <w:r w:rsidR="00D566C3" w:rsidRPr="001763AE">
        <w:t xml:space="preserve">values of </w:t>
      </w:r>
      <w:r w:rsidR="00877E20" w:rsidRPr="001763AE">
        <w:t>cultural services (apart from tourism and recreation)</w:t>
      </w:r>
      <w:r w:rsidR="008A2B0C" w:rsidRPr="001763AE">
        <w:t xml:space="preserve"> </w:t>
      </w:r>
      <w:r w:rsidR="00380FDB" w:rsidRPr="001763AE">
        <w:t xml:space="preserve">and </w:t>
      </w:r>
      <w:r w:rsidR="00375459" w:rsidRPr="001763AE">
        <w:t>explicitly</w:t>
      </w:r>
      <w:r w:rsidR="00237516" w:rsidRPr="001763AE">
        <w:t xml:space="preserve"> </w:t>
      </w:r>
      <w:r w:rsidR="008A2B0C" w:rsidRPr="001763AE">
        <w:t>records the</w:t>
      </w:r>
      <w:r w:rsidR="00380FDB" w:rsidRPr="001763AE">
        <w:t xml:space="preserve"> values </w:t>
      </w:r>
      <w:r w:rsidR="008A2B0C" w:rsidRPr="001763AE">
        <w:t xml:space="preserve">of these cultural services </w:t>
      </w:r>
      <w:r w:rsidR="00380FDB" w:rsidRPr="001763AE">
        <w:t xml:space="preserve">as </w:t>
      </w:r>
      <w:r w:rsidR="00D566C3" w:rsidRPr="001763AE">
        <w:t>zero</w:t>
      </w:r>
      <w:r w:rsidR="00380FDB" w:rsidRPr="001763AE">
        <w:t xml:space="preserve"> under both BAU and SEM</w:t>
      </w:r>
      <w:r w:rsidR="00427F20" w:rsidRPr="001763AE">
        <w:t xml:space="preserve">. </w:t>
      </w:r>
      <w:r w:rsidR="00375459" w:rsidRPr="001763AE">
        <w:t>Although</w:t>
      </w:r>
      <w:r w:rsidR="00380FDB" w:rsidRPr="001763AE">
        <w:t xml:space="preserve"> these values are difficult </w:t>
      </w:r>
      <w:r w:rsidR="00D566C3" w:rsidRPr="001763AE">
        <w:t>to quan</w:t>
      </w:r>
      <w:r w:rsidR="00380FDB" w:rsidRPr="001763AE">
        <w:t xml:space="preserve">tify, they relate to the fundamental reasons </w:t>
      </w:r>
      <w:r w:rsidR="00D566C3" w:rsidRPr="001763AE">
        <w:t xml:space="preserve">why </w:t>
      </w:r>
      <w:r w:rsidR="00040F9B" w:rsidRPr="001763AE">
        <w:t xml:space="preserve">so </w:t>
      </w:r>
      <w:r w:rsidR="00D566C3" w:rsidRPr="001763AE">
        <w:t>many R</w:t>
      </w:r>
      <w:r w:rsidR="00380FDB" w:rsidRPr="001763AE">
        <w:t>omanians c</w:t>
      </w:r>
      <w:r w:rsidR="00D566C3" w:rsidRPr="001763AE">
        <w:t xml:space="preserve">herish the landscapes and </w:t>
      </w:r>
      <w:r w:rsidR="00380FDB" w:rsidRPr="001763AE">
        <w:t>ecosystems of the Carpathians</w:t>
      </w:r>
      <w:r w:rsidR="00427F20" w:rsidRPr="001763AE">
        <w:t xml:space="preserve">. </w:t>
      </w:r>
      <w:r w:rsidR="008A2B0C" w:rsidRPr="001763AE">
        <w:t xml:space="preserve">While resource constraints may have </w:t>
      </w:r>
      <w:r w:rsidR="00375459" w:rsidRPr="001763AE">
        <w:t>prevented a detailed</w:t>
      </w:r>
      <w:r w:rsidR="00255A2A" w:rsidRPr="001763AE">
        <w:t xml:space="preserve"> assessment of these values, </w:t>
      </w:r>
      <w:r w:rsidR="00040F9B" w:rsidRPr="001763AE">
        <w:t xml:space="preserve">giving the impression that they </w:t>
      </w:r>
      <w:r w:rsidR="00D566C3" w:rsidRPr="001763AE">
        <w:t xml:space="preserve">have zero value </w:t>
      </w:r>
      <w:r w:rsidR="00960E58" w:rsidRPr="001763AE">
        <w:t>could potentially</w:t>
      </w:r>
      <w:r w:rsidR="00BE4607" w:rsidRPr="001763AE">
        <w:t xml:space="preserve"> </w:t>
      </w:r>
      <w:r w:rsidR="00040F9B" w:rsidRPr="001763AE">
        <w:t>alienate many of those whose support is essential</w:t>
      </w:r>
      <w:r w:rsidR="00BE4607" w:rsidRPr="001763AE">
        <w:t xml:space="preserve"> for the long term future of protected areas</w:t>
      </w:r>
      <w:r w:rsidR="00427F20" w:rsidRPr="001763AE">
        <w:t>.</w:t>
      </w:r>
      <w:r w:rsidR="00C60BAC" w:rsidRPr="001763AE">
        <w:t xml:space="preserve"> </w:t>
      </w:r>
      <w:r w:rsidR="00255A2A" w:rsidRPr="001763AE">
        <w:t>It would be preferable if the values were entered as ‘not assessed’ instead.</w:t>
      </w:r>
    </w:p>
    <w:p w:rsidR="002E59F9" w:rsidRPr="001763AE" w:rsidRDefault="00040F9B" w:rsidP="00DB28F8">
      <w:pPr>
        <w:pStyle w:val="NumberedPara"/>
        <w:numPr>
          <w:ilvl w:val="0"/>
          <w:numId w:val="0"/>
        </w:numPr>
      </w:pPr>
      <w:r w:rsidRPr="001763AE">
        <w:t>Despite these concerns</w:t>
      </w:r>
      <w:r w:rsidR="00BE4607" w:rsidRPr="001763AE">
        <w:t>,</w:t>
      </w:r>
      <w:r w:rsidRPr="001763AE">
        <w:t xml:space="preserve"> this is</w:t>
      </w:r>
      <w:r w:rsidR="007430F9" w:rsidRPr="001763AE">
        <w:t xml:space="preserve"> </w:t>
      </w:r>
      <w:r w:rsidRPr="001763AE">
        <w:t>an important and valuable stu</w:t>
      </w:r>
      <w:r w:rsidR="007430F9" w:rsidRPr="001763AE">
        <w:t>dy</w:t>
      </w:r>
      <w:r w:rsidRPr="001763AE">
        <w:t xml:space="preserve"> that underpins many of the other achievements of the project</w:t>
      </w:r>
      <w:r w:rsidR="00BE4607" w:rsidRPr="001763AE">
        <w:t xml:space="preserve"> (sustainable financing strategy, business plans, awareness programmes)</w:t>
      </w:r>
      <w:r w:rsidR="00427F20" w:rsidRPr="001763AE">
        <w:t xml:space="preserve">. </w:t>
      </w:r>
      <w:r w:rsidR="008A2B0C" w:rsidRPr="001763AE">
        <w:t>The report</w:t>
      </w:r>
      <w:r w:rsidR="007430F9" w:rsidRPr="001763AE">
        <w:t xml:space="preserve"> </w:t>
      </w:r>
      <w:r w:rsidR="007D7044" w:rsidRPr="001763AE">
        <w:t xml:space="preserve">was not </w:t>
      </w:r>
      <w:r w:rsidR="008A2B0C" w:rsidRPr="001763AE">
        <w:t>completed</w:t>
      </w:r>
      <w:r w:rsidR="007D7044" w:rsidRPr="001763AE">
        <w:t xml:space="preserve"> until quite late in the project, due to challenges in acquiring the required data and to changes in the consultant team; had it been made availab</w:t>
      </w:r>
      <w:r w:rsidR="00BE4607" w:rsidRPr="001763AE">
        <w:t>le earlier</w:t>
      </w:r>
      <w:r w:rsidR="00E148F8">
        <w:t>,</w:t>
      </w:r>
      <w:r w:rsidR="008A2B0C" w:rsidRPr="001763AE">
        <w:t xml:space="preserve"> more time might </w:t>
      </w:r>
      <w:r w:rsidR="00255A2A" w:rsidRPr="001763AE">
        <w:t xml:space="preserve">have been available to make </w:t>
      </w:r>
      <w:r w:rsidR="00375459" w:rsidRPr="001763AE">
        <w:t xml:space="preserve">wider </w:t>
      </w:r>
      <w:r w:rsidR="00255A2A" w:rsidRPr="001763AE">
        <w:t>use of its results and to produce and finalise the sustainable financing strategy.</w:t>
      </w:r>
    </w:p>
    <w:p w:rsidR="00427F20" w:rsidRPr="001763AE" w:rsidRDefault="006C3696" w:rsidP="00DB28F8">
      <w:pPr>
        <w:pStyle w:val="NumberedPara"/>
        <w:numPr>
          <w:ilvl w:val="0"/>
          <w:numId w:val="0"/>
        </w:numPr>
      </w:pPr>
      <w:r w:rsidRPr="001763AE">
        <w:t>As well as making use of the valuation study, d</w:t>
      </w:r>
      <w:r w:rsidR="004353F2" w:rsidRPr="001763AE">
        <w:t xml:space="preserve">evelopment of the </w:t>
      </w:r>
      <w:r w:rsidR="00410262" w:rsidRPr="001763AE">
        <w:t>sustainable financing s</w:t>
      </w:r>
      <w:r w:rsidRPr="001763AE">
        <w:t>trategy took place in parallel with, and using information from development of the business plans</w:t>
      </w:r>
      <w:r w:rsidR="00410262" w:rsidRPr="001763AE">
        <w:t xml:space="preserve"> for the five pilot areas (see O</w:t>
      </w:r>
      <w:r w:rsidRPr="001763AE">
        <w:t>utput 1</w:t>
      </w:r>
      <w:r w:rsidR="006C3433" w:rsidRPr="001763AE">
        <w:t>.4</w:t>
      </w:r>
      <w:r w:rsidR="00410262" w:rsidRPr="001763AE">
        <w:t xml:space="preserve"> ), and the strategy document </w:t>
      </w:r>
      <w:r w:rsidRPr="001763AE">
        <w:t xml:space="preserve">has a similar </w:t>
      </w:r>
      <w:r w:rsidR="00410262" w:rsidRPr="001763AE">
        <w:t>structure to the business plans</w:t>
      </w:r>
      <w:r w:rsidR="00427F20" w:rsidRPr="001763AE">
        <w:t>.</w:t>
      </w:r>
    </w:p>
    <w:p w:rsidR="00427F20" w:rsidRPr="001763AE" w:rsidRDefault="006C3696" w:rsidP="00DB28F8">
      <w:pPr>
        <w:pStyle w:val="NumberedPara"/>
        <w:numPr>
          <w:ilvl w:val="0"/>
          <w:numId w:val="0"/>
        </w:numPr>
      </w:pPr>
      <w:r w:rsidRPr="001763AE">
        <w:t>The</w:t>
      </w:r>
      <w:r w:rsidR="004353F2" w:rsidRPr="001763AE">
        <w:t xml:space="preserve"> final draft strate</w:t>
      </w:r>
      <w:r w:rsidR="00410262" w:rsidRPr="001763AE">
        <w:t>gy was delivered in August 2013</w:t>
      </w:r>
      <w:r w:rsidR="00427F20" w:rsidRPr="001763AE">
        <w:t xml:space="preserve">. </w:t>
      </w:r>
      <w:r w:rsidR="00410262" w:rsidRPr="001763AE">
        <w:t>It is clearly structured, explaining</w:t>
      </w:r>
      <w:r w:rsidR="004353F2" w:rsidRPr="001763AE">
        <w:t xml:space="preserve"> the main principles of sustainable financi</w:t>
      </w:r>
      <w:r w:rsidR="00410262" w:rsidRPr="001763AE">
        <w:t>ng for protected areas, outlining</w:t>
      </w:r>
      <w:r w:rsidR="004353F2" w:rsidRPr="001763AE">
        <w:t xml:space="preserve"> the current situation for protected area financing in Roma</w:t>
      </w:r>
      <w:r w:rsidR="00410262" w:rsidRPr="001763AE">
        <w:t xml:space="preserve">nia, </w:t>
      </w:r>
      <w:r w:rsidR="00DA602F" w:rsidRPr="001763AE">
        <w:t xml:space="preserve">clearly </w:t>
      </w:r>
      <w:r w:rsidR="00410262" w:rsidRPr="001763AE">
        <w:t>presenting</w:t>
      </w:r>
      <w:r w:rsidR="004353F2" w:rsidRPr="001763AE">
        <w:t xml:space="preserve"> five non</w:t>
      </w:r>
      <w:r w:rsidR="00410262" w:rsidRPr="001763AE">
        <w:t xml:space="preserve"> market-</w:t>
      </w:r>
      <w:r w:rsidR="004353F2" w:rsidRPr="001763AE">
        <w:t xml:space="preserve">based and three market-based </w:t>
      </w:r>
      <w:r w:rsidR="00BE4607" w:rsidRPr="001763AE">
        <w:t>mechanisms</w:t>
      </w:r>
      <w:r w:rsidR="004353F2" w:rsidRPr="001763AE">
        <w:t xml:space="preserve"> for clos</w:t>
      </w:r>
      <w:r w:rsidR="00410262" w:rsidRPr="001763AE">
        <w:t>ing the funding gap</w:t>
      </w:r>
      <w:r w:rsidR="00BE4607" w:rsidRPr="001763AE">
        <w:t>, estimating the potential income from those mechanisms</w:t>
      </w:r>
      <w:r w:rsidR="00410262" w:rsidRPr="001763AE">
        <w:t xml:space="preserve"> </w:t>
      </w:r>
      <w:r w:rsidR="00BE4607" w:rsidRPr="001763AE">
        <w:t xml:space="preserve">(see </w:t>
      </w:r>
      <w:r w:rsidR="00217E75" w:rsidRPr="001763AE">
        <w:fldChar w:fldCharType="begin"/>
      </w:r>
      <w:r w:rsidR="00BE4607" w:rsidRPr="001763AE">
        <w:instrText xml:space="preserve"> REF _Ref391893391 \h </w:instrText>
      </w:r>
      <w:r w:rsidR="00217E75" w:rsidRPr="001763AE">
        <w:fldChar w:fldCharType="separate"/>
      </w:r>
      <w:r w:rsidR="00D406FE" w:rsidRPr="001763AE">
        <w:t xml:space="preserve">Table </w:t>
      </w:r>
      <w:r w:rsidR="00D406FE">
        <w:rPr>
          <w:noProof/>
        </w:rPr>
        <w:t>20</w:t>
      </w:r>
      <w:r w:rsidR="00217E75" w:rsidRPr="001763AE">
        <w:fldChar w:fldCharType="end"/>
      </w:r>
      <w:r w:rsidR="00BE4607" w:rsidRPr="001763AE">
        <w:t xml:space="preserve">) </w:t>
      </w:r>
      <w:r w:rsidR="00410262" w:rsidRPr="001763AE">
        <w:t>and providing</w:t>
      </w:r>
      <w:r w:rsidR="004353F2" w:rsidRPr="001763AE">
        <w:t xml:space="preserve"> directions </w:t>
      </w:r>
      <w:r w:rsidR="007D7044" w:rsidRPr="001763AE">
        <w:t xml:space="preserve">and an action plan </w:t>
      </w:r>
      <w:r w:rsidR="004353F2" w:rsidRPr="001763AE">
        <w:t xml:space="preserve">for implementing these </w:t>
      </w:r>
      <w:r w:rsidR="007D7044" w:rsidRPr="001763AE">
        <w:t>options</w:t>
      </w:r>
      <w:r w:rsidR="00427F20" w:rsidRPr="001763AE">
        <w:t xml:space="preserve">. </w:t>
      </w:r>
      <w:r w:rsidR="004353F2" w:rsidRPr="001763AE">
        <w:t>S</w:t>
      </w:r>
      <w:r w:rsidR="00DA602F" w:rsidRPr="001763AE">
        <w:t xml:space="preserve">everal </w:t>
      </w:r>
      <w:r w:rsidR="004353F2" w:rsidRPr="001763AE">
        <w:t xml:space="preserve">respondents </w:t>
      </w:r>
      <w:r w:rsidR="00DA602F" w:rsidRPr="001763AE">
        <w:t xml:space="preserve">considered that </w:t>
      </w:r>
      <w:r w:rsidR="00375459" w:rsidRPr="001763AE">
        <w:t xml:space="preserve">although useful, </w:t>
      </w:r>
      <w:r w:rsidR="00DA602F" w:rsidRPr="001763AE">
        <w:t>the strategy promotes</w:t>
      </w:r>
      <w:r w:rsidR="004353F2" w:rsidRPr="001763AE">
        <w:t xml:space="preserve"> unrealistic financing solutions</w:t>
      </w:r>
      <w:r w:rsidR="00BA15F5" w:rsidRPr="001763AE">
        <w:t xml:space="preserve">, specifically </w:t>
      </w:r>
      <w:r w:rsidR="004353F2" w:rsidRPr="001763AE">
        <w:t>donation boxes and establishment of a trust fund</w:t>
      </w:r>
      <w:r w:rsidR="00375459" w:rsidRPr="001763AE">
        <w:t>. As a consequence</w:t>
      </w:r>
      <w:r w:rsidR="00D03F75">
        <w:t>,</w:t>
      </w:r>
      <w:r w:rsidR="00375459" w:rsidRPr="001763AE">
        <w:t xml:space="preserve"> </w:t>
      </w:r>
      <w:r w:rsidR="00B23A18" w:rsidRPr="001763AE">
        <w:t xml:space="preserve">these mechanisms </w:t>
      </w:r>
      <w:r w:rsidR="00DF79CD" w:rsidRPr="001763AE">
        <w:t xml:space="preserve">have </w:t>
      </w:r>
      <w:r w:rsidR="00E148F8">
        <w:t>now</w:t>
      </w:r>
      <w:r w:rsidR="00DF79CD" w:rsidRPr="001763AE">
        <w:t xml:space="preserve"> been removed from the final draft submitted to the NFA for approval.</w:t>
      </w:r>
      <w:r w:rsidR="00B23A18" w:rsidRPr="001763AE">
        <w:t xml:space="preserve"> Many other of the </w:t>
      </w:r>
      <w:r w:rsidR="004353F2" w:rsidRPr="001763AE">
        <w:t xml:space="preserve">solutions proposed are </w:t>
      </w:r>
      <w:r w:rsidR="00DA602F" w:rsidRPr="001763AE">
        <w:t xml:space="preserve">practical, </w:t>
      </w:r>
      <w:r w:rsidR="004353F2" w:rsidRPr="001763AE">
        <w:t>realistic and feasible (</w:t>
      </w:r>
      <w:r w:rsidR="00DA602F" w:rsidRPr="001763AE">
        <w:t xml:space="preserve">to the extent that they have been assimilated into business plans and </w:t>
      </w:r>
      <w:r w:rsidR="004353F2" w:rsidRPr="001763AE">
        <w:t>already being used)</w:t>
      </w:r>
      <w:r w:rsidR="00427F20" w:rsidRPr="001763AE">
        <w:t xml:space="preserve">. </w:t>
      </w:r>
      <w:r w:rsidR="00DA602F" w:rsidRPr="001763AE">
        <w:t xml:space="preserve">It was also mentioned that </w:t>
      </w:r>
      <w:r w:rsidR="004353F2" w:rsidRPr="001763AE">
        <w:t>the figures included for potential income and for potential numbers of vi</w:t>
      </w:r>
      <w:r w:rsidR="00C937DC" w:rsidRPr="001763AE">
        <w:t>sitors are unfeasibly high</w:t>
      </w:r>
      <w:r w:rsidR="001F08B9" w:rsidRPr="001763AE">
        <w:t>. The revised version submitted to the NFA inclu</w:t>
      </w:r>
      <w:r w:rsidR="00D03F75">
        <w:t>des more conservative estimates</w:t>
      </w:r>
      <w:r w:rsidR="00427F20" w:rsidRPr="001763AE">
        <w:t>.</w:t>
      </w:r>
    </w:p>
    <w:p w:rsidR="004353F2" w:rsidRPr="001763AE" w:rsidRDefault="00BE4607" w:rsidP="00BE4607">
      <w:pPr>
        <w:pStyle w:val="Caption"/>
      </w:pPr>
      <w:bookmarkStart w:id="32" w:name="_Ref391893391"/>
      <w:r w:rsidRPr="001763AE">
        <w:t xml:space="preserve">Table </w:t>
      </w:r>
      <w:r w:rsidR="00C072C9">
        <w:fldChar w:fldCharType="begin"/>
      </w:r>
      <w:r w:rsidR="00C072C9">
        <w:instrText xml:space="preserve"> SEQ Table \* ARABIC </w:instrText>
      </w:r>
      <w:r w:rsidR="00C072C9">
        <w:fldChar w:fldCharType="separate"/>
      </w:r>
      <w:r w:rsidR="00D406FE">
        <w:rPr>
          <w:noProof/>
        </w:rPr>
        <w:t>20</w:t>
      </w:r>
      <w:r w:rsidR="00C072C9">
        <w:rPr>
          <w:noProof/>
        </w:rPr>
        <w:fldChar w:fldCharType="end"/>
      </w:r>
      <w:bookmarkEnd w:id="32"/>
      <w:r w:rsidRPr="001763AE">
        <w:t xml:space="preserve"> </w:t>
      </w:r>
      <w:r w:rsidR="004353F2" w:rsidRPr="001763AE">
        <w:t>Potential income 2013-2017 from Carpathian Protected Areas (from the Sustainable Financing Strategy)</w:t>
      </w:r>
    </w:p>
    <w:tbl>
      <w:tblPr>
        <w:tblStyle w:val="Style2"/>
        <w:tblW w:w="0" w:type="auto"/>
        <w:tblLook w:val="04A0" w:firstRow="1" w:lastRow="0" w:firstColumn="1" w:lastColumn="0" w:noHBand="0" w:noVBand="1"/>
      </w:tblPr>
      <w:tblGrid>
        <w:gridCol w:w="7198"/>
        <w:gridCol w:w="2657"/>
      </w:tblGrid>
      <w:tr w:rsidR="004353F2" w:rsidRPr="001763AE" w:rsidTr="004353F2">
        <w:trPr>
          <w:cnfStyle w:val="100000000000" w:firstRow="1" w:lastRow="0" w:firstColumn="0" w:lastColumn="0" w:oddVBand="0" w:evenVBand="0" w:oddHBand="0" w:evenHBand="0" w:firstRowFirstColumn="0" w:firstRowLastColumn="0" w:lastRowFirstColumn="0" w:lastRowLastColumn="0"/>
        </w:trPr>
        <w:tc>
          <w:tcPr>
            <w:tcW w:w="733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Financial mechanisms</w:t>
            </w:r>
          </w:p>
        </w:tc>
        <w:tc>
          <w:tcPr>
            <w:tcW w:w="268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 xml:space="preserve">Potential income </w:t>
            </w:r>
          </w:p>
        </w:tc>
      </w:tr>
      <w:tr w:rsidR="004353F2" w:rsidRPr="001763AE" w:rsidTr="004353F2">
        <w:tc>
          <w:tcPr>
            <w:tcW w:w="7338" w:type="dxa"/>
          </w:tcPr>
          <w:p w:rsidR="004353F2" w:rsidRPr="001763AE" w:rsidRDefault="004353F2" w:rsidP="004353F2">
            <w:pPr>
              <w:pStyle w:val="NumberedPara"/>
              <w:numPr>
                <w:ilvl w:val="0"/>
                <w:numId w:val="0"/>
              </w:numPr>
              <w:spacing w:before="0" w:after="0" w:line="240" w:lineRule="auto"/>
              <w:rPr>
                <w:b/>
                <w:sz w:val="20"/>
                <w:szCs w:val="20"/>
              </w:rPr>
            </w:pPr>
            <w:r w:rsidRPr="001763AE">
              <w:rPr>
                <w:b/>
                <w:sz w:val="20"/>
                <w:szCs w:val="20"/>
              </w:rPr>
              <w:t>Market based</w:t>
            </w:r>
          </w:p>
        </w:tc>
        <w:tc>
          <w:tcPr>
            <w:tcW w:w="2688" w:type="dxa"/>
          </w:tcPr>
          <w:p w:rsidR="004353F2" w:rsidRPr="001763AE" w:rsidRDefault="004353F2" w:rsidP="004353F2">
            <w:pPr>
              <w:pStyle w:val="NumberedPara"/>
              <w:numPr>
                <w:ilvl w:val="0"/>
                <w:numId w:val="0"/>
              </w:numPr>
              <w:spacing w:before="0" w:after="0" w:line="240" w:lineRule="auto"/>
              <w:rPr>
                <w:sz w:val="20"/>
                <w:szCs w:val="20"/>
              </w:rPr>
            </w:pPr>
          </w:p>
        </w:tc>
      </w:tr>
      <w:tr w:rsidR="004353F2" w:rsidRPr="001763AE" w:rsidTr="004353F2">
        <w:tc>
          <w:tcPr>
            <w:tcW w:w="733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Efficient entry passes policy</w:t>
            </w:r>
          </w:p>
        </w:tc>
        <w:tc>
          <w:tcPr>
            <w:tcW w:w="268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€5,552,233</w:t>
            </w:r>
            <w:r w:rsidR="007C63A9" w:rsidRPr="001763AE">
              <w:rPr>
                <w:sz w:val="20"/>
                <w:szCs w:val="20"/>
              </w:rPr>
              <w:t>.2</w:t>
            </w:r>
            <w:r w:rsidRPr="001763AE">
              <w:rPr>
                <w:sz w:val="20"/>
                <w:szCs w:val="20"/>
              </w:rPr>
              <w:t>3</w:t>
            </w:r>
          </w:p>
        </w:tc>
      </w:tr>
      <w:tr w:rsidR="004353F2" w:rsidRPr="001763AE" w:rsidTr="004353F2">
        <w:tc>
          <w:tcPr>
            <w:tcW w:w="733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Concessions and special concessions</w:t>
            </w:r>
          </w:p>
        </w:tc>
        <w:tc>
          <w:tcPr>
            <w:tcW w:w="268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€35,476</w:t>
            </w:r>
            <w:r w:rsidR="006C3433" w:rsidRPr="001763AE">
              <w:rPr>
                <w:sz w:val="20"/>
                <w:szCs w:val="20"/>
              </w:rPr>
              <w:t>.3</w:t>
            </w:r>
            <w:r w:rsidRPr="001763AE">
              <w:rPr>
                <w:sz w:val="20"/>
                <w:szCs w:val="20"/>
              </w:rPr>
              <w:t>6</w:t>
            </w:r>
          </w:p>
        </w:tc>
      </w:tr>
      <w:tr w:rsidR="004353F2" w:rsidRPr="001763AE" w:rsidTr="004353F2">
        <w:tc>
          <w:tcPr>
            <w:tcW w:w="733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Bison farm and zoo</w:t>
            </w:r>
          </w:p>
        </w:tc>
        <w:tc>
          <w:tcPr>
            <w:tcW w:w="268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€23,042</w:t>
            </w:r>
            <w:r w:rsidR="006C3433" w:rsidRPr="001763AE">
              <w:rPr>
                <w:sz w:val="20"/>
                <w:szCs w:val="20"/>
              </w:rPr>
              <w:t>.6</w:t>
            </w:r>
            <w:r w:rsidRPr="001763AE">
              <w:rPr>
                <w:sz w:val="20"/>
                <w:szCs w:val="20"/>
              </w:rPr>
              <w:t>5</w:t>
            </w:r>
          </w:p>
        </w:tc>
      </w:tr>
      <w:tr w:rsidR="004353F2" w:rsidRPr="001763AE" w:rsidTr="004353F2">
        <w:tc>
          <w:tcPr>
            <w:tcW w:w="733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Carbon scheme</w:t>
            </w:r>
          </w:p>
        </w:tc>
        <w:tc>
          <w:tcPr>
            <w:tcW w:w="268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€362,500</w:t>
            </w:r>
          </w:p>
        </w:tc>
      </w:tr>
      <w:tr w:rsidR="004353F2" w:rsidRPr="001763AE" w:rsidTr="004353F2">
        <w:tc>
          <w:tcPr>
            <w:tcW w:w="7338" w:type="dxa"/>
          </w:tcPr>
          <w:p w:rsidR="004353F2" w:rsidRPr="001763AE" w:rsidRDefault="004353F2" w:rsidP="004353F2">
            <w:pPr>
              <w:pStyle w:val="NumberedPara"/>
              <w:numPr>
                <w:ilvl w:val="0"/>
                <w:numId w:val="0"/>
              </w:numPr>
              <w:spacing w:before="0" w:after="0" w:line="240" w:lineRule="auto"/>
              <w:jc w:val="right"/>
              <w:rPr>
                <w:b/>
                <w:i/>
                <w:sz w:val="20"/>
                <w:szCs w:val="20"/>
              </w:rPr>
            </w:pPr>
            <w:r w:rsidRPr="001763AE">
              <w:rPr>
                <w:b/>
                <w:i/>
                <w:sz w:val="20"/>
                <w:szCs w:val="20"/>
              </w:rPr>
              <w:t>Subtotal</w:t>
            </w:r>
          </w:p>
        </w:tc>
        <w:tc>
          <w:tcPr>
            <w:tcW w:w="2688" w:type="dxa"/>
          </w:tcPr>
          <w:p w:rsidR="004353F2" w:rsidRPr="001763AE" w:rsidRDefault="004353F2" w:rsidP="004353F2">
            <w:pPr>
              <w:pStyle w:val="NumberedPara"/>
              <w:numPr>
                <w:ilvl w:val="0"/>
                <w:numId w:val="0"/>
              </w:numPr>
              <w:spacing w:before="0" w:after="0" w:line="240" w:lineRule="auto"/>
              <w:rPr>
                <w:b/>
                <w:i/>
                <w:sz w:val="20"/>
                <w:szCs w:val="20"/>
              </w:rPr>
            </w:pPr>
            <w:r w:rsidRPr="001763AE">
              <w:rPr>
                <w:b/>
                <w:i/>
                <w:sz w:val="20"/>
                <w:szCs w:val="20"/>
              </w:rPr>
              <w:t>€5, 973, 252</w:t>
            </w:r>
            <w:r w:rsidR="007C63A9" w:rsidRPr="001763AE">
              <w:rPr>
                <w:b/>
                <w:i/>
                <w:sz w:val="20"/>
                <w:szCs w:val="20"/>
              </w:rPr>
              <w:t>.2</w:t>
            </w:r>
            <w:r w:rsidRPr="001763AE">
              <w:rPr>
                <w:b/>
                <w:i/>
                <w:sz w:val="20"/>
                <w:szCs w:val="20"/>
              </w:rPr>
              <w:t>3</w:t>
            </w:r>
          </w:p>
        </w:tc>
      </w:tr>
      <w:tr w:rsidR="004353F2" w:rsidRPr="001763AE" w:rsidTr="004353F2">
        <w:tc>
          <w:tcPr>
            <w:tcW w:w="7338" w:type="dxa"/>
          </w:tcPr>
          <w:p w:rsidR="004353F2" w:rsidRPr="001763AE" w:rsidRDefault="004353F2" w:rsidP="004353F2">
            <w:pPr>
              <w:pStyle w:val="NumberedPara"/>
              <w:numPr>
                <w:ilvl w:val="0"/>
                <w:numId w:val="0"/>
              </w:numPr>
              <w:spacing w:before="0" w:after="0" w:line="240" w:lineRule="auto"/>
              <w:rPr>
                <w:b/>
                <w:sz w:val="20"/>
                <w:szCs w:val="20"/>
              </w:rPr>
            </w:pPr>
            <w:r w:rsidRPr="001763AE">
              <w:rPr>
                <w:b/>
                <w:sz w:val="20"/>
                <w:szCs w:val="20"/>
              </w:rPr>
              <w:t>Non Market based</w:t>
            </w:r>
          </w:p>
        </w:tc>
        <w:tc>
          <w:tcPr>
            <w:tcW w:w="2688" w:type="dxa"/>
          </w:tcPr>
          <w:p w:rsidR="004353F2" w:rsidRPr="001763AE" w:rsidRDefault="004353F2" w:rsidP="004353F2">
            <w:pPr>
              <w:pStyle w:val="NumberedPara"/>
              <w:numPr>
                <w:ilvl w:val="0"/>
                <w:numId w:val="0"/>
              </w:numPr>
              <w:spacing w:before="0" w:after="0" w:line="240" w:lineRule="auto"/>
              <w:rPr>
                <w:b/>
                <w:sz w:val="20"/>
                <w:szCs w:val="20"/>
              </w:rPr>
            </w:pPr>
          </w:p>
        </w:tc>
      </w:tr>
      <w:tr w:rsidR="004353F2" w:rsidRPr="001763AE" w:rsidTr="004353F2">
        <w:tc>
          <w:tcPr>
            <w:tcW w:w="733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Government annual increase 2013-2017</w:t>
            </w:r>
          </w:p>
        </w:tc>
        <w:tc>
          <w:tcPr>
            <w:tcW w:w="268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€0</w:t>
            </w:r>
          </w:p>
        </w:tc>
      </w:tr>
      <w:tr w:rsidR="004353F2" w:rsidRPr="001763AE" w:rsidTr="004353F2">
        <w:tc>
          <w:tcPr>
            <w:tcW w:w="733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Partnerships</w:t>
            </w:r>
          </w:p>
        </w:tc>
        <w:tc>
          <w:tcPr>
            <w:tcW w:w="268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€781,666</w:t>
            </w:r>
            <w:r w:rsidR="006C3433" w:rsidRPr="001763AE">
              <w:rPr>
                <w:sz w:val="20"/>
                <w:szCs w:val="20"/>
              </w:rPr>
              <w:t>.5</w:t>
            </w:r>
            <w:r w:rsidRPr="001763AE">
              <w:rPr>
                <w:sz w:val="20"/>
                <w:szCs w:val="20"/>
              </w:rPr>
              <w:t>8</w:t>
            </w:r>
          </w:p>
        </w:tc>
      </w:tr>
      <w:tr w:rsidR="004353F2" w:rsidRPr="001763AE" w:rsidTr="004353F2">
        <w:tc>
          <w:tcPr>
            <w:tcW w:w="733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CNPA Trust Fund (2017)</w:t>
            </w:r>
          </w:p>
        </w:tc>
        <w:tc>
          <w:tcPr>
            <w:tcW w:w="268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€150,000</w:t>
            </w:r>
          </w:p>
        </w:tc>
      </w:tr>
      <w:tr w:rsidR="004353F2" w:rsidRPr="001763AE" w:rsidTr="004353F2">
        <w:tc>
          <w:tcPr>
            <w:tcW w:w="733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Spare currency donation boxes</w:t>
            </w:r>
          </w:p>
        </w:tc>
        <w:tc>
          <w:tcPr>
            <w:tcW w:w="2688" w:type="dxa"/>
          </w:tcPr>
          <w:p w:rsidR="004353F2" w:rsidRPr="001763AE" w:rsidRDefault="004353F2" w:rsidP="004353F2">
            <w:pPr>
              <w:pStyle w:val="NumberedPara"/>
              <w:numPr>
                <w:ilvl w:val="0"/>
                <w:numId w:val="0"/>
              </w:numPr>
              <w:spacing w:before="0" w:after="0" w:line="240" w:lineRule="auto"/>
              <w:rPr>
                <w:sz w:val="20"/>
                <w:szCs w:val="20"/>
              </w:rPr>
            </w:pPr>
            <w:r w:rsidRPr="001763AE">
              <w:rPr>
                <w:sz w:val="20"/>
                <w:szCs w:val="20"/>
              </w:rPr>
              <w:t>€500,000</w:t>
            </w:r>
          </w:p>
        </w:tc>
      </w:tr>
      <w:tr w:rsidR="004353F2" w:rsidRPr="001763AE" w:rsidTr="004353F2">
        <w:tc>
          <w:tcPr>
            <w:tcW w:w="7338" w:type="dxa"/>
          </w:tcPr>
          <w:p w:rsidR="004353F2" w:rsidRPr="001763AE" w:rsidRDefault="004353F2" w:rsidP="004353F2">
            <w:pPr>
              <w:pStyle w:val="NumberedPara"/>
              <w:numPr>
                <w:ilvl w:val="0"/>
                <w:numId w:val="0"/>
              </w:numPr>
              <w:spacing w:before="0" w:after="0" w:line="240" w:lineRule="auto"/>
              <w:ind w:left="568" w:hanging="568"/>
              <w:jc w:val="right"/>
              <w:rPr>
                <w:b/>
                <w:i/>
                <w:sz w:val="20"/>
                <w:szCs w:val="20"/>
              </w:rPr>
            </w:pPr>
            <w:r w:rsidRPr="001763AE">
              <w:rPr>
                <w:b/>
                <w:i/>
                <w:sz w:val="20"/>
                <w:szCs w:val="20"/>
              </w:rPr>
              <w:t>Subtotal</w:t>
            </w:r>
          </w:p>
        </w:tc>
        <w:tc>
          <w:tcPr>
            <w:tcW w:w="2688" w:type="dxa"/>
          </w:tcPr>
          <w:p w:rsidR="004353F2" w:rsidRPr="001763AE" w:rsidRDefault="004353F2" w:rsidP="004353F2">
            <w:pPr>
              <w:pStyle w:val="NumberedPara"/>
              <w:numPr>
                <w:ilvl w:val="0"/>
                <w:numId w:val="0"/>
              </w:numPr>
              <w:spacing w:before="0" w:after="0" w:line="240" w:lineRule="auto"/>
              <w:rPr>
                <w:b/>
                <w:i/>
                <w:sz w:val="20"/>
                <w:szCs w:val="20"/>
              </w:rPr>
            </w:pPr>
            <w:r w:rsidRPr="001763AE">
              <w:rPr>
                <w:b/>
                <w:i/>
                <w:sz w:val="20"/>
                <w:szCs w:val="20"/>
              </w:rPr>
              <w:t>€1,431,666</w:t>
            </w:r>
            <w:r w:rsidR="006C3433" w:rsidRPr="001763AE">
              <w:rPr>
                <w:b/>
                <w:i/>
                <w:sz w:val="20"/>
                <w:szCs w:val="20"/>
              </w:rPr>
              <w:t>.5</w:t>
            </w:r>
            <w:r w:rsidRPr="001763AE">
              <w:rPr>
                <w:b/>
                <w:i/>
                <w:sz w:val="20"/>
                <w:szCs w:val="20"/>
              </w:rPr>
              <w:t>8</w:t>
            </w:r>
          </w:p>
        </w:tc>
      </w:tr>
      <w:tr w:rsidR="004353F2" w:rsidRPr="001763AE" w:rsidTr="004353F2">
        <w:tc>
          <w:tcPr>
            <w:tcW w:w="7338" w:type="dxa"/>
          </w:tcPr>
          <w:p w:rsidR="004353F2" w:rsidRPr="001763AE" w:rsidRDefault="004353F2" w:rsidP="004353F2">
            <w:pPr>
              <w:pStyle w:val="NumberedPara"/>
              <w:numPr>
                <w:ilvl w:val="0"/>
                <w:numId w:val="0"/>
              </w:numPr>
              <w:spacing w:before="0" w:after="0" w:line="240" w:lineRule="auto"/>
              <w:ind w:left="568" w:hanging="568"/>
              <w:rPr>
                <w:b/>
                <w:sz w:val="20"/>
                <w:szCs w:val="20"/>
              </w:rPr>
            </w:pPr>
            <w:r w:rsidRPr="001763AE">
              <w:rPr>
                <w:b/>
                <w:sz w:val="20"/>
                <w:szCs w:val="20"/>
              </w:rPr>
              <w:t>TOTAL ESTIMATED</w:t>
            </w:r>
          </w:p>
        </w:tc>
        <w:tc>
          <w:tcPr>
            <w:tcW w:w="2688" w:type="dxa"/>
          </w:tcPr>
          <w:p w:rsidR="004353F2" w:rsidRPr="001763AE" w:rsidRDefault="004353F2" w:rsidP="004353F2">
            <w:pPr>
              <w:pStyle w:val="NumberedPara"/>
              <w:numPr>
                <w:ilvl w:val="0"/>
                <w:numId w:val="0"/>
              </w:numPr>
              <w:spacing w:before="0" w:after="0" w:line="240" w:lineRule="auto"/>
              <w:rPr>
                <w:b/>
                <w:sz w:val="20"/>
                <w:szCs w:val="20"/>
              </w:rPr>
            </w:pPr>
            <w:r w:rsidRPr="001763AE">
              <w:rPr>
                <w:b/>
                <w:sz w:val="20"/>
                <w:szCs w:val="20"/>
              </w:rPr>
              <w:t>€7,404, 918</w:t>
            </w:r>
            <w:r w:rsidR="00427F20" w:rsidRPr="001763AE">
              <w:rPr>
                <w:b/>
                <w:sz w:val="20"/>
                <w:szCs w:val="20"/>
              </w:rPr>
              <w:t xml:space="preserve">. </w:t>
            </w:r>
            <w:r w:rsidRPr="001763AE">
              <w:rPr>
                <w:b/>
                <w:sz w:val="20"/>
                <w:szCs w:val="20"/>
              </w:rPr>
              <w:t>81</w:t>
            </w:r>
          </w:p>
        </w:tc>
      </w:tr>
    </w:tbl>
    <w:p w:rsidR="0025256D" w:rsidRDefault="00960E58" w:rsidP="00DB28F8">
      <w:pPr>
        <w:pStyle w:val="NumberedPara"/>
        <w:numPr>
          <w:ilvl w:val="0"/>
          <w:numId w:val="0"/>
        </w:numPr>
      </w:pPr>
      <w:r w:rsidRPr="001763AE">
        <w:t xml:space="preserve">These are impressive figures, but are considered by many to be major overestimates, while some of the proposed mechanisms (notably the carbon scheme, trust fund and donation boxes) were generally thought to be unfeasible. It is a concern that this table explicitly states that </w:t>
      </w:r>
      <w:r w:rsidR="00375459" w:rsidRPr="001763AE">
        <w:t xml:space="preserve">even </w:t>
      </w:r>
      <w:r w:rsidRPr="001763AE">
        <w:t xml:space="preserve">with a zero </w:t>
      </w:r>
      <w:r w:rsidR="00157BD6">
        <w:t xml:space="preserve">increased </w:t>
      </w:r>
      <w:r w:rsidRPr="001763AE">
        <w:t>contribution from the MoECC</w:t>
      </w:r>
      <w:r w:rsidR="00375459" w:rsidRPr="001763AE">
        <w:t>,</w:t>
      </w:r>
      <w:r w:rsidRPr="001763AE">
        <w:t xml:space="preserve"> the Carpathian protected areas could earn more than </w:t>
      </w:r>
      <w:r w:rsidR="0012329E" w:rsidRPr="001763AE">
        <w:t>€1 million per year from 2013.</w:t>
      </w:r>
      <w:r w:rsidR="00FF5180" w:rsidRPr="001763AE">
        <w:t xml:space="preserve"> </w:t>
      </w:r>
      <w:r w:rsidR="009458E1" w:rsidRPr="001763AE">
        <w:t xml:space="preserve">This could inadvertently </w:t>
      </w:r>
      <w:r w:rsidR="00FF5180" w:rsidRPr="001763AE">
        <w:t>give</w:t>
      </w:r>
      <w:r w:rsidR="0012329E" w:rsidRPr="001763AE">
        <w:t xml:space="preserve"> the impression that there is </w:t>
      </w:r>
      <w:r w:rsidR="00157BD6">
        <w:t xml:space="preserve">in fact </w:t>
      </w:r>
      <w:r w:rsidR="0012329E" w:rsidRPr="001763AE">
        <w:t>no need for an increased central budget allocation, and that parks can earn the money they need for themselves</w:t>
      </w:r>
      <w:r w:rsidR="006F7CC0" w:rsidRPr="001763AE">
        <w:t xml:space="preserve">; the concern was explicitly raised by </w:t>
      </w:r>
      <w:r w:rsidR="0012329E" w:rsidRPr="001763AE">
        <w:t xml:space="preserve">some in the NGO community who </w:t>
      </w:r>
      <w:r w:rsidR="006F7CC0" w:rsidRPr="001763AE">
        <w:t>are</w:t>
      </w:r>
      <w:r w:rsidR="0012329E" w:rsidRPr="001763AE">
        <w:t xml:space="preserve"> campaigning for increased central budget support.</w:t>
      </w:r>
    </w:p>
    <w:p w:rsidR="00DF5C22" w:rsidRDefault="004353F2" w:rsidP="00DB28F8">
      <w:pPr>
        <w:pStyle w:val="NumberedPara"/>
        <w:numPr>
          <w:ilvl w:val="0"/>
          <w:numId w:val="0"/>
        </w:numPr>
      </w:pPr>
      <w:r w:rsidRPr="001763AE">
        <w:t xml:space="preserve">The strategy promotes the establishment of a </w:t>
      </w:r>
      <w:r w:rsidR="00C937DC" w:rsidRPr="001763AE">
        <w:t>‘</w:t>
      </w:r>
      <w:r w:rsidRPr="001763AE">
        <w:t>business development unit</w:t>
      </w:r>
      <w:r w:rsidR="00C937DC" w:rsidRPr="001763AE">
        <w:t>’ (BDU)</w:t>
      </w:r>
      <w:r w:rsidR="001652A2" w:rsidRPr="001763AE">
        <w:t xml:space="preserve"> to </w:t>
      </w:r>
      <w:r w:rsidRPr="001763AE">
        <w:t>actively promote and support implementation of the strategy</w:t>
      </w:r>
      <w:r w:rsidR="0012329E" w:rsidRPr="001763AE">
        <w:t xml:space="preserve"> at the protected area level</w:t>
      </w:r>
      <w:r w:rsidR="00427F20" w:rsidRPr="001763AE">
        <w:t xml:space="preserve">. </w:t>
      </w:r>
      <w:r w:rsidR="002363FA" w:rsidRPr="001763AE">
        <w:t xml:space="preserve">The consensus was </w:t>
      </w:r>
      <w:r w:rsidR="001652A2" w:rsidRPr="001763AE">
        <w:t xml:space="preserve">that the BDU would best be </w:t>
      </w:r>
      <w:r w:rsidRPr="001763AE">
        <w:t xml:space="preserve">housed within the Carpathian </w:t>
      </w:r>
      <w:r w:rsidR="00410262" w:rsidRPr="001763AE">
        <w:t>P</w:t>
      </w:r>
      <w:r w:rsidR="007D7044" w:rsidRPr="001763AE">
        <w:t>rotected A</w:t>
      </w:r>
      <w:r w:rsidRPr="001763AE">
        <w:t>reas Association</w:t>
      </w:r>
      <w:r w:rsidR="001652A2" w:rsidRPr="001763AE">
        <w:t>,</w:t>
      </w:r>
      <w:r w:rsidR="007D7044" w:rsidRPr="001763AE">
        <w:t xml:space="preserve"> and th</w:t>
      </w:r>
      <w:r w:rsidRPr="001763AE">
        <w:t xml:space="preserve">e project agreed to support the engagement of a specialist </w:t>
      </w:r>
      <w:r w:rsidR="00410262" w:rsidRPr="001763AE">
        <w:t>to test the BDU</w:t>
      </w:r>
      <w:r w:rsidRPr="001763AE">
        <w:t xml:space="preserve"> concept and to actively seek and secure significant partnership funding on behalf of the protected areas</w:t>
      </w:r>
      <w:r w:rsidR="00427F20" w:rsidRPr="001763AE">
        <w:t xml:space="preserve">. </w:t>
      </w:r>
      <w:r w:rsidRPr="001763AE">
        <w:t>However, it proved difficult to find and agree on the right person for the job, and the initiative did not lead to any significant new financing (although it did provide some support to protected area directors who had identified potential partnerships)</w:t>
      </w:r>
      <w:r w:rsidR="00DF5C22" w:rsidRPr="001763AE">
        <w:t>.</w:t>
      </w:r>
    </w:p>
    <w:p w:rsidR="0002667F" w:rsidRPr="001763AE" w:rsidRDefault="00CA7156" w:rsidP="00DB28F8">
      <w:pPr>
        <w:pStyle w:val="NumberedPara"/>
        <w:numPr>
          <w:ilvl w:val="0"/>
          <w:numId w:val="0"/>
        </w:numPr>
      </w:pPr>
      <w:r w:rsidRPr="001763AE">
        <w:t>The draft Sustainable Financing S</w:t>
      </w:r>
      <w:r w:rsidR="00C937DC" w:rsidRPr="001763AE">
        <w:t xml:space="preserve">trategy document was </w:t>
      </w:r>
      <w:r w:rsidR="00E7559E" w:rsidRPr="001763AE">
        <w:t>completed</w:t>
      </w:r>
      <w:r w:rsidR="00C937DC" w:rsidRPr="001763AE">
        <w:t xml:space="preserve"> </w:t>
      </w:r>
      <w:r w:rsidR="004A12EE" w:rsidRPr="001763AE">
        <w:t xml:space="preserve">in late 2013, </w:t>
      </w:r>
      <w:r w:rsidRPr="001763AE">
        <w:t xml:space="preserve">mainly </w:t>
      </w:r>
      <w:r w:rsidR="00C937DC" w:rsidRPr="001763AE">
        <w:t>due to accumulated delay</w:t>
      </w:r>
      <w:r w:rsidR="004A12EE" w:rsidRPr="001763AE">
        <w:t>s in production of prerequisite</w:t>
      </w:r>
      <w:r w:rsidR="00C937DC" w:rsidRPr="001763AE">
        <w:t xml:space="preserve"> studies and reports</w:t>
      </w:r>
      <w:r w:rsidR="00427F20" w:rsidRPr="001763AE">
        <w:t xml:space="preserve">. </w:t>
      </w:r>
      <w:r w:rsidR="004A12EE" w:rsidRPr="001763AE">
        <w:t>H</w:t>
      </w:r>
      <w:r w:rsidR="00C937DC" w:rsidRPr="001763AE">
        <w:t xml:space="preserve">ad </w:t>
      </w:r>
      <w:r w:rsidR="004A12EE" w:rsidRPr="001763AE">
        <w:t xml:space="preserve">it </w:t>
      </w:r>
      <w:r w:rsidR="00C937DC" w:rsidRPr="001763AE">
        <w:t xml:space="preserve">been published much earlier, </w:t>
      </w:r>
      <w:r w:rsidR="004A12EE" w:rsidRPr="001763AE">
        <w:t xml:space="preserve">the project could have conducted a widespread review and consultation process and </w:t>
      </w:r>
      <w:r w:rsidR="006F7CC0" w:rsidRPr="001763AE">
        <w:t xml:space="preserve">more </w:t>
      </w:r>
      <w:r w:rsidR="004A12EE" w:rsidRPr="001763AE">
        <w:t xml:space="preserve">actively </w:t>
      </w:r>
      <w:r w:rsidRPr="001763AE">
        <w:t>promote</w:t>
      </w:r>
      <w:r w:rsidR="004A12EE" w:rsidRPr="001763AE">
        <w:t>d</w:t>
      </w:r>
      <w:r w:rsidR="00E7559E" w:rsidRPr="001763AE">
        <w:t xml:space="preserve"> and supported</w:t>
      </w:r>
      <w:r w:rsidRPr="001763AE">
        <w:t xml:space="preserve"> its adoption</w:t>
      </w:r>
      <w:r w:rsidR="00E7559E" w:rsidRPr="001763AE">
        <w:t xml:space="preserve"> and implementation by the NFA</w:t>
      </w:r>
      <w:r w:rsidR="00427F20" w:rsidRPr="001763AE">
        <w:t xml:space="preserve">. </w:t>
      </w:r>
      <w:r w:rsidR="00BE4C65" w:rsidRPr="001763AE">
        <w:t>The Strategy has now been translated into Romanian, revised and submitted for official approval by the NFA</w:t>
      </w:r>
      <w:r w:rsidR="00BE4C65">
        <w:t xml:space="preserve"> </w:t>
      </w:r>
      <w:r w:rsidR="00BE4C65" w:rsidRPr="001763AE">
        <w:t xml:space="preserve">and subsequently to </w:t>
      </w:r>
      <w:r w:rsidR="00BE4C65">
        <w:t xml:space="preserve">the </w:t>
      </w:r>
      <w:r w:rsidR="00BE4C65" w:rsidRPr="001763AE">
        <w:t>MoE</w:t>
      </w:r>
      <w:r w:rsidR="00BE4C65">
        <w:t>CC</w:t>
      </w:r>
      <w:r w:rsidR="00BE4C65" w:rsidRPr="001763AE">
        <w:t xml:space="preserve"> for approval for use by the NFA as a Business Oriented Management Tool, to be</w:t>
      </w:r>
      <w:r w:rsidR="00BE4C65">
        <w:t xml:space="preserve"> </w:t>
      </w:r>
      <w:r w:rsidR="00BE4C65" w:rsidRPr="001763AE">
        <w:t>implemented locally by the PAs under NFA management.</w:t>
      </w:r>
    </w:p>
    <w:p w:rsidR="007665EF" w:rsidRPr="001763AE" w:rsidRDefault="007665EF" w:rsidP="007665EF">
      <w:pPr>
        <w:pStyle w:val="Heading6"/>
      </w:pPr>
      <w:r w:rsidRPr="001763AE">
        <w:t>Evaluation</w:t>
      </w:r>
    </w:p>
    <w:p w:rsidR="00427F20" w:rsidRPr="001763AE" w:rsidRDefault="007665EF" w:rsidP="00DB28F8">
      <w:pPr>
        <w:pStyle w:val="NumberedPara"/>
        <w:numPr>
          <w:ilvl w:val="0"/>
          <w:numId w:val="0"/>
        </w:numPr>
        <w:rPr>
          <w:b/>
        </w:rPr>
      </w:pPr>
      <w:r w:rsidRPr="001763AE">
        <w:t>Overall, thi</w:t>
      </w:r>
      <w:r w:rsidR="001652A2" w:rsidRPr="001763AE">
        <w:t xml:space="preserve">s output is evaluated as </w:t>
      </w:r>
      <w:r w:rsidR="001652A2" w:rsidRPr="00385D8D">
        <w:rPr>
          <w:b/>
        </w:rPr>
        <w:t>Satisfactory</w:t>
      </w:r>
      <w:r w:rsidR="00157BD6" w:rsidRPr="00385D8D">
        <w:rPr>
          <w:b/>
        </w:rPr>
        <w:t xml:space="preserve"> (S</w:t>
      </w:r>
      <w:r w:rsidR="00157BD6">
        <w:rPr>
          <w:b/>
          <w:i/>
        </w:rPr>
        <w:t>)</w:t>
      </w:r>
      <w:r w:rsidR="00157BD6">
        <w:rPr>
          <w:i/>
        </w:rPr>
        <w:t xml:space="preserve">, </w:t>
      </w:r>
      <w:r w:rsidR="00157BD6">
        <w:t>with only minor shortcomings.</w:t>
      </w:r>
    </w:p>
    <w:p w:rsidR="00EE3D02" w:rsidRPr="001763AE" w:rsidRDefault="00CE7780" w:rsidP="00CE7780">
      <w:pPr>
        <w:pStyle w:val="Heading5"/>
      </w:pPr>
      <w:r w:rsidRPr="001763AE">
        <w:t>Output 1</w:t>
      </w:r>
      <w:r w:rsidR="006C3433" w:rsidRPr="001763AE">
        <w:t>.3</w:t>
      </w:r>
      <w:r w:rsidRPr="001763AE">
        <w:t>: Government commits to gradually increase funding (e</w:t>
      </w:r>
      <w:r w:rsidR="00427F20" w:rsidRPr="001763AE">
        <w:t xml:space="preserve">. </w:t>
      </w:r>
      <w:r w:rsidRPr="001763AE">
        <w:t>g</w:t>
      </w:r>
      <w:r w:rsidR="007C63A9" w:rsidRPr="001763AE">
        <w:t>.</w:t>
      </w:r>
      <w:r w:rsidR="00701E65" w:rsidRPr="001763AE">
        <w:t xml:space="preserve"> </w:t>
      </w:r>
      <w:r w:rsidR="007C63A9" w:rsidRPr="001763AE">
        <w:t>2</w:t>
      </w:r>
      <w:r w:rsidRPr="001763AE">
        <w:t>0% yearly increases from 2007 level) for the targeted PAs</w:t>
      </w:r>
    </w:p>
    <w:p w:rsidR="00427F20" w:rsidRPr="001763AE" w:rsidRDefault="00CE7780" w:rsidP="00DB28F8">
      <w:pPr>
        <w:pStyle w:val="NumberedPara"/>
        <w:numPr>
          <w:ilvl w:val="0"/>
          <w:numId w:val="0"/>
        </w:numPr>
      </w:pPr>
      <w:r w:rsidRPr="001763AE">
        <w:t xml:space="preserve">This output is </w:t>
      </w:r>
      <w:r w:rsidR="002363FA" w:rsidRPr="001763AE">
        <w:t xml:space="preserve">one of </w:t>
      </w:r>
      <w:r w:rsidR="00A94C7C" w:rsidRPr="001763AE">
        <w:t xml:space="preserve">the most </w:t>
      </w:r>
      <w:r w:rsidRPr="001763AE">
        <w:t xml:space="preserve">critical to the attainment of the overall objectives of the project and several indicators are </w:t>
      </w:r>
      <w:r w:rsidR="001652A2" w:rsidRPr="001763AE">
        <w:t>attached to it</w:t>
      </w:r>
      <w:r w:rsidR="00427F20" w:rsidRPr="001763AE">
        <w:t>.</w:t>
      </w:r>
    </w:p>
    <w:p w:rsidR="000D5CB2" w:rsidRPr="001763AE" w:rsidRDefault="00055B3D" w:rsidP="00CE7780">
      <w:pPr>
        <w:pStyle w:val="Heading6"/>
      </w:pPr>
      <w:r w:rsidRPr="001763AE">
        <w:t xml:space="preserve">Indicators: </w:t>
      </w:r>
      <w:r w:rsidR="00541846" w:rsidRPr="001763AE">
        <w:t>Funding increases</w:t>
      </w:r>
      <w:r w:rsidR="00B8799E" w:rsidRPr="001763AE">
        <w:t xml:space="preserve">, </w:t>
      </w:r>
      <w:r w:rsidR="00541846" w:rsidRPr="001763AE">
        <w:t>reduction of the funding gap</w:t>
      </w:r>
      <w:r w:rsidR="00B8799E" w:rsidRPr="001763AE">
        <w:t xml:space="preserve"> and central budget transfers</w:t>
      </w:r>
      <w:r w:rsidR="002F2AFA" w:rsidRPr="001763AE">
        <w:t xml:space="preserve"> and allocations</w:t>
      </w:r>
    </w:p>
    <w:p w:rsidR="00B200B5" w:rsidRPr="001763AE" w:rsidRDefault="00BE4C65" w:rsidP="00DB28F8">
      <w:pPr>
        <w:pStyle w:val="NumberedPara"/>
        <w:numPr>
          <w:ilvl w:val="0"/>
          <w:numId w:val="0"/>
        </w:numPr>
      </w:pPr>
      <w:r w:rsidRPr="001763AE">
        <w:t xml:space="preserve">A strict assessment of the success indicators established by the project shows that no separate budget line for protected areas has been approved by </w:t>
      </w:r>
      <w:r>
        <w:t xml:space="preserve">the </w:t>
      </w:r>
      <w:r w:rsidRPr="001763AE">
        <w:t>MoE</w:t>
      </w:r>
      <w:r>
        <w:t>CC</w:t>
      </w:r>
      <w:r w:rsidRPr="001763AE">
        <w:t xml:space="preserve"> and established for protected areas, no central transfers have been made</w:t>
      </w:r>
      <w:r>
        <w:t xml:space="preserve"> for protected area management</w:t>
      </w:r>
      <w:r w:rsidRPr="001763AE">
        <w:t xml:space="preserve">, and no long term commitments have been entered into by the MoECC for budget allocations as envisaged. </w:t>
      </w:r>
      <w:r w:rsidR="0097006D" w:rsidRPr="001763AE">
        <w:t>However</w:t>
      </w:r>
      <w:r w:rsidR="006E16CE" w:rsidRPr="001763AE">
        <w:t xml:space="preserve"> </w:t>
      </w:r>
      <w:r w:rsidR="0097006D" w:rsidRPr="001763AE">
        <w:t>the legal changes promoted by the pr</w:t>
      </w:r>
      <w:r w:rsidR="00157BD6">
        <w:t>oject have enabled provision of</w:t>
      </w:r>
      <w:r w:rsidR="00A35281" w:rsidRPr="001763AE">
        <w:t xml:space="preserve"> significant alternative sources of </w:t>
      </w:r>
      <w:r w:rsidR="0097006D" w:rsidRPr="001763AE">
        <w:t xml:space="preserve">support </w:t>
      </w:r>
      <w:r w:rsidR="00B8799E" w:rsidRPr="001763AE">
        <w:t xml:space="preserve">from the MoECC </w:t>
      </w:r>
      <w:r w:rsidR="0097006D" w:rsidRPr="001763AE">
        <w:t>(through co-financing and VAT subsidies) totalling</w:t>
      </w:r>
      <w:r w:rsidR="006E16CE" w:rsidRPr="001763AE">
        <w:t xml:space="preserve"> </w:t>
      </w:r>
      <w:r w:rsidR="0097006D" w:rsidRPr="001763AE">
        <w:t>over $4</w:t>
      </w:r>
      <w:r w:rsidR="006C3433" w:rsidRPr="001763AE">
        <w:t>.5</w:t>
      </w:r>
      <w:r w:rsidR="0097006D" w:rsidRPr="001763AE">
        <w:t xml:space="preserve"> million for the implementation of 27 </w:t>
      </w:r>
      <w:r w:rsidR="00CC04BC">
        <w:t xml:space="preserve">EU funded, </w:t>
      </w:r>
      <w:r w:rsidR="0097006D" w:rsidRPr="001763AE">
        <w:t>SOP projects from 2010-2014</w:t>
      </w:r>
      <w:r w:rsidR="00CC04BC">
        <w:t>, and ensured future similar support up to 2020</w:t>
      </w:r>
      <w:r w:rsidR="00427F20" w:rsidRPr="001763AE">
        <w:t xml:space="preserve">. </w:t>
      </w:r>
      <w:r w:rsidR="00A35281" w:rsidRPr="001763AE">
        <w:t>This does not equate to the committed long term central budget support envisaged by the project</w:t>
      </w:r>
      <w:r w:rsidR="00B200B5" w:rsidRPr="001763AE">
        <w:t xml:space="preserve">, but it has provided an important short to medium term </w:t>
      </w:r>
      <w:r w:rsidR="00CC04BC">
        <w:t xml:space="preserve">partial </w:t>
      </w:r>
      <w:r w:rsidR="00B200B5" w:rsidRPr="001763AE">
        <w:t>solution (at least up to 2</w:t>
      </w:r>
      <w:r w:rsidR="00CC04BC">
        <w:t xml:space="preserve">020) to the PA funding </w:t>
      </w:r>
      <w:r w:rsidR="00CC04BC" w:rsidRPr="00F63694">
        <w:t>problem.</w:t>
      </w:r>
    </w:p>
    <w:p w:rsidR="0025256D" w:rsidRDefault="00B200B5" w:rsidP="00DB28F8">
      <w:pPr>
        <w:pStyle w:val="NumberedPara"/>
        <w:numPr>
          <w:ilvl w:val="0"/>
          <w:numId w:val="0"/>
        </w:numPr>
      </w:pPr>
      <w:r w:rsidRPr="001763AE">
        <w:t xml:space="preserve">The extent to which this </w:t>
      </w:r>
      <w:r w:rsidR="00A35281" w:rsidRPr="001763AE">
        <w:t xml:space="preserve">new funding </w:t>
      </w:r>
      <w:r w:rsidR="0097006D" w:rsidRPr="001763AE">
        <w:t xml:space="preserve">has </w:t>
      </w:r>
      <w:r w:rsidR="000E4424" w:rsidRPr="001763AE">
        <w:t xml:space="preserve">reduced the funding gap is difficult </w:t>
      </w:r>
      <w:r w:rsidR="00AF5567" w:rsidRPr="001763AE">
        <w:t xml:space="preserve">to assess, as </w:t>
      </w:r>
      <w:r w:rsidR="000E4424" w:rsidRPr="001763AE">
        <w:t xml:space="preserve">no consistent data </w:t>
      </w:r>
      <w:r w:rsidR="00AF5567" w:rsidRPr="001763AE">
        <w:t xml:space="preserve">are </w:t>
      </w:r>
      <w:r w:rsidR="000E4424" w:rsidRPr="001763AE">
        <w:t>avail</w:t>
      </w:r>
      <w:r w:rsidR="008B685C" w:rsidRPr="001763AE">
        <w:t xml:space="preserve">able that measure or track the funding gap (as already considered in Section </w:t>
      </w:r>
      <w:r w:rsidR="00217E75" w:rsidRPr="001763AE">
        <w:fldChar w:fldCharType="begin"/>
      </w:r>
      <w:r w:rsidR="008B685C" w:rsidRPr="001763AE">
        <w:instrText xml:space="preserve"> REF _Ref394237416 \r \h </w:instrText>
      </w:r>
      <w:r w:rsidR="00217E75" w:rsidRPr="001763AE">
        <w:fldChar w:fldCharType="separate"/>
      </w:r>
      <w:r w:rsidR="00D406FE">
        <w:t>3.3.1</w:t>
      </w:r>
      <w:r w:rsidR="00217E75" w:rsidRPr="001763AE">
        <w:fldChar w:fldCharType="end"/>
      </w:r>
      <w:r w:rsidR="00F63694">
        <w:t>)</w:t>
      </w:r>
      <w:r w:rsidR="008B685C" w:rsidRPr="001763AE">
        <w:t>. From one perspective</w:t>
      </w:r>
      <w:r w:rsidR="00CC04BC">
        <w:t>,</w:t>
      </w:r>
      <w:r w:rsidR="008B685C" w:rsidRPr="001763AE">
        <w:t xml:space="preserve"> the additional expenditure of over $4.5 million could be said to have closed the funding gap </w:t>
      </w:r>
      <w:r w:rsidR="00BC2BD3" w:rsidRPr="001763AE">
        <w:t>of $1 million per year</w:t>
      </w:r>
      <w:r w:rsidR="00C55644" w:rsidRPr="001763AE">
        <w:t xml:space="preserve"> and enabled protected areas to benefit from a wide range of activities to improve their effectiveness and efficiency</w:t>
      </w:r>
      <w:r w:rsidR="00BC2BD3" w:rsidRPr="001763AE">
        <w:t xml:space="preserve">. On the other hand, and as previously explained, the funding gap is only closed if </w:t>
      </w:r>
      <w:r w:rsidR="00CC04BC">
        <w:t xml:space="preserve">planned </w:t>
      </w:r>
      <w:r w:rsidR="00BC2BD3" w:rsidRPr="001763AE">
        <w:t xml:space="preserve">expenditure is covered. </w:t>
      </w:r>
      <w:r w:rsidR="00AF5567" w:rsidRPr="001763AE">
        <w:t xml:space="preserve">While considerable SOP project expenditure has </w:t>
      </w:r>
      <w:r w:rsidR="00F63694">
        <w:t xml:space="preserve">been </w:t>
      </w:r>
      <w:r w:rsidR="00AF5567" w:rsidRPr="001763AE">
        <w:t>directed towards new and previously unforeseen investments (e.g. visitor centres), m</w:t>
      </w:r>
      <w:r w:rsidR="00BC2BD3" w:rsidRPr="001763AE">
        <w:t xml:space="preserve">any of the SOP projects have </w:t>
      </w:r>
      <w:r w:rsidR="00AF5567" w:rsidRPr="001763AE">
        <w:t xml:space="preserve">also </w:t>
      </w:r>
      <w:r w:rsidR="00BC2BD3" w:rsidRPr="001763AE">
        <w:t xml:space="preserve">conducted </w:t>
      </w:r>
      <w:r w:rsidR="00CC04BC">
        <w:t xml:space="preserve">significant </w:t>
      </w:r>
      <w:r w:rsidR="00BC2BD3" w:rsidRPr="001763AE">
        <w:t>work directly related to primary management needs of protected areas (notably baseline surveys and development of management plans) and have therefore at least offset future costs of the protected areas in conducting this work.</w:t>
      </w:r>
    </w:p>
    <w:p w:rsidR="00DC3A1F" w:rsidRPr="001763AE" w:rsidRDefault="00055B3D" w:rsidP="00CE7780">
      <w:pPr>
        <w:pStyle w:val="Heading6"/>
      </w:pPr>
      <w:r w:rsidRPr="001763AE">
        <w:t xml:space="preserve">Indicator: </w:t>
      </w:r>
      <w:r w:rsidR="00DC3A1F" w:rsidRPr="001763AE">
        <w:t>Number of cases for environmental compensation and level of fees</w:t>
      </w:r>
    </w:p>
    <w:p w:rsidR="00427F20" w:rsidRPr="001763AE" w:rsidRDefault="00BE4C65" w:rsidP="00DB28F8">
      <w:pPr>
        <w:pStyle w:val="NumberedPara"/>
        <w:numPr>
          <w:ilvl w:val="0"/>
          <w:numId w:val="0"/>
        </w:numPr>
      </w:pPr>
      <w:r w:rsidRPr="001763AE">
        <w:t xml:space="preserve">Instruments have been developed and proposed by the project that would enable such compensation to be paid, both through a levy paid to the environmental fund by mineral extraction companies and through </w:t>
      </w:r>
      <w:r>
        <w:t xml:space="preserve">a </w:t>
      </w:r>
      <w:r w:rsidRPr="001763AE">
        <w:t>water</w:t>
      </w:r>
      <w:r>
        <w:t>-</w:t>
      </w:r>
      <w:r w:rsidRPr="001763AE">
        <w:t xml:space="preserve">based PES scheme related to hydropower lakes in protected areas. </w:t>
      </w:r>
      <w:r w:rsidR="005F25CF" w:rsidRPr="001763AE">
        <w:t xml:space="preserve">Provision for the latter is included in </w:t>
      </w:r>
      <w:r w:rsidR="00A04C0D" w:rsidRPr="001763AE">
        <w:t>pr</w:t>
      </w:r>
      <w:r w:rsidR="000074A2" w:rsidRPr="001763AE">
        <w:t>oposed changes to the Forest C</w:t>
      </w:r>
      <w:r w:rsidR="00912EE6" w:rsidRPr="001763AE">
        <w:t>ode</w:t>
      </w:r>
      <w:r w:rsidR="005F25CF" w:rsidRPr="001763AE">
        <w:t xml:space="preserve"> and there is some optimism that th</w:t>
      </w:r>
      <w:r w:rsidR="0077068C" w:rsidRPr="001763AE">
        <w:t xml:space="preserve">ese mechanisms will </w:t>
      </w:r>
      <w:r w:rsidR="00912EE6" w:rsidRPr="001763AE">
        <w:t>be approved</w:t>
      </w:r>
      <w:r w:rsidR="00427F20" w:rsidRPr="001763AE">
        <w:t>.</w:t>
      </w:r>
    </w:p>
    <w:p w:rsidR="00541846" w:rsidRPr="001763AE" w:rsidRDefault="00055B3D" w:rsidP="00CE7780">
      <w:pPr>
        <w:pStyle w:val="Heading6"/>
      </w:pPr>
      <w:r w:rsidRPr="001763AE">
        <w:t xml:space="preserve">Indicator: </w:t>
      </w:r>
      <w:r w:rsidR="00541846" w:rsidRPr="001763AE">
        <w:t>Compensation for forest owners</w:t>
      </w:r>
    </w:p>
    <w:p w:rsidR="0025256D" w:rsidRDefault="0077068C" w:rsidP="00DB28F8">
      <w:pPr>
        <w:pStyle w:val="NumberedPara"/>
        <w:numPr>
          <w:ilvl w:val="0"/>
          <w:numId w:val="0"/>
        </w:numPr>
      </w:pPr>
      <w:r w:rsidRPr="001763AE">
        <w:t xml:space="preserve">The main route envisaged by the project to enable this was the previously mentioned ‘beneficiary pays’ amendment to the Forestry Code, that would enable establishment of a PES/EC compensation scheme targeted at forest owners, possibly administered through the Special Fund for Improving the Agro-forestry Land Use. Mobilisation of this mechanism is dependent on the approval of the proposed </w:t>
      </w:r>
      <w:r w:rsidR="00C87CC8" w:rsidRPr="001763AE">
        <w:t>amendments to the Forest C</w:t>
      </w:r>
      <w:r w:rsidRPr="001763AE">
        <w:t>ode.</w:t>
      </w:r>
    </w:p>
    <w:p w:rsidR="007665EF" w:rsidRPr="001763AE" w:rsidRDefault="007665EF" w:rsidP="007665EF">
      <w:pPr>
        <w:pStyle w:val="Heading6"/>
      </w:pPr>
      <w:r w:rsidRPr="001763AE">
        <w:t>Evaluation</w:t>
      </w:r>
    </w:p>
    <w:p w:rsidR="00CF7EA0" w:rsidRPr="001763AE" w:rsidRDefault="00C87CC8" w:rsidP="00C87CC8">
      <w:pPr>
        <w:pStyle w:val="NumberedPara"/>
        <w:numPr>
          <w:ilvl w:val="0"/>
          <w:numId w:val="0"/>
        </w:numPr>
      </w:pPr>
      <w:r w:rsidRPr="001763AE">
        <w:t>The</w:t>
      </w:r>
      <w:r w:rsidR="00C55644" w:rsidRPr="001763AE">
        <w:t xml:space="preserve"> project has </w:t>
      </w:r>
      <w:r w:rsidR="00AF5567" w:rsidRPr="001763AE">
        <w:t xml:space="preserve">conducted studies and developed economic arguments and instruments for improving PA financing and </w:t>
      </w:r>
      <w:r w:rsidR="00712161" w:rsidRPr="001763AE">
        <w:t xml:space="preserve">closing the funding gap. The anticipated </w:t>
      </w:r>
      <w:r w:rsidR="00CC04BC">
        <w:t xml:space="preserve">mechanisms for </w:t>
      </w:r>
      <w:r w:rsidRPr="001763AE">
        <w:t>permanent</w:t>
      </w:r>
      <w:r w:rsidR="00CC04BC">
        <w:t xml:space="preserve"> long term financing for PAs have </w:t>
      </w:r>
      <w:r w:rsidRPr="001763AE">
        <w:t xml:space="preserve">not </w:t>
      </w:r>
      <w:r w:rsidR="00712161" w:rsidRPr="001763AE">
        <w:t xml:space="preserve">been achieved. Given the financial crisis it could not be expected that the MoECC would be able to increase direct funding, but better progress could have been expected with the mobilisation of new PES funding through </w:t>
      </w:r>
      <w:r w:rsidR="00F63694">
        <w:t xml:space="preserve">the </w:t>
      </w:r>
      <w:r w:rsidR="00712161" w:rsidRPr="001763AE">
        <w:t>National Environment Fund</w:t>
      </w:r>
      <w:r w:rsidR="00352DEE" w:rsidRPr="001763AE">
        <w:t xml:space="preserve">. Never-the-less, </w:t>
      </w:r>
      <w:r w:rsidRPr="001763AE">
        <w:t>significant new funding has been mobilised to enable implementation of EU supported PA projects. In addition</w:t>
      </w:r>
      <w:r w:rsidR="009A5BD5" w:rsidRPr="001763AE">
        <w:t>,</w:t>
      </w:r>
      <w:r w:rsidRPr="001763AE">
        <w:t xml:space="preserve"> the foundations have been put in place for mobilising payments for ecosystems services through proposed amendments to the Forest Code</w:t>
      </w:r>
      <w:r w:rsidR="00712161" w:rsidRPr="001763AE">
        <w:t>, which are yet to be approved</w:t>
      </w:r>
      <w:r w:rsidRPr="001763AE">
        <w:t xml:space="preserve">. </w:t>
      </w:r>
      <w:r w:rsidR="00712161" w:rsidRPr="001763AE">
        <w:t xml:space="preserve">Despite the difficulties that it has encountered, achievement of this output </w:t>
      </w:r>
      <w:r w:rsidR="007665EF" w:rsidRPr="001763AE">
        <w:t>is evaluated as</w:t>
      </w:r>
      <w:r w:rsidR="00712161" w:rsidRPr="001763AE">
        <w:t xml:space="preserve"> having only moderate shortcomings and is therefore evaluated as </w:t>
      </w:r>
      <w:r w:rsidR="00A04C0D" w:rsidRPr="001763AE">
        <w:rPr>
          <w:b/>
        </w:rPr>
        <w:t>Moderately Satisfactory</w:t>
      </w:r>
      <w:r w:rsidR="00CF7EA0" w:rsidRPr="001763AE">
        <w:rPr>
          <w:b/>
        </w:rPr>
        <w:t xml:space="preserve"> </w:t>
      </w:r>
      <w:r w:rsidR="00CC04BC">
        <w:rPr>
          <w:b/>
        </w:rPr>
        <w:t>(MS).</w:t>
      </w:r>
    </w:p>
    <w:p w:rsidR="00975DC3" w:rsidRPr="001763AE" w:rsidRDefault="00975DC3" w:rsidP="00975DC3">
      <w:pPr>
        <w:pStyle w:val="Heading5"/>
      </w:pPr>
      <w:r w:rsidRPr="001763AE">
        <w:t>Output 1</w:t>
      </w:r>
      <w:r w:rsidR="006C3433" w:rsidRPr="001763AE">
        <w:t>.4</w:t>
      </w:r>
      <w:r w:rsidRPr="001763AE">
        <w:t>: Model business plans developed to demonstrate specific market-based revenue mechanisms for 5 clusters of PAs in the Romanian Carpathians</w:t>
      </w:r>
    </w:p>
    <w:p w:rsidR="00055B3D" w:rsidRPr="001763AE" w:rsidRDefault="00055B3D" w:rsidP="00055B3D">
      <w:pPr>
        <w:pStyle w:val="Heading6"/>
      </w:pPr>
      <w:r w:rsidRPr="001763AE">
        <w:t>Indicator: Number of sites in Carpathians with business plans and cost-reduction strategies</w:t>
      </w:r>
    </w:p>
    <w:p w:rsidR="00975DC3" w:rsidRPr="001763AE" w:rsidRDefault="00975DC3" w:rsidP="00DB28F8">
      <w:pPr>
        <w:pStyle w:val="NumberedPara"/>
        <w:numPr>
          <w:ilvl w:val="0"/>
          <w:numId w:val="0"/>
        </w:numPr>
      </w:pPr>
      <w:r w:rsidRPr="001763AE">
        <w:t xml:space="preserve">Business plans have been </w:t>
      </w:r>
      <w:r w:rsidR="00721C3F" w:rsidRPr="001763AE">
        <w:t>prepared</w:t>
      </w:r>
      <w:r w:rsidR="000074A2" w:rsidRPr="001763AE">
        <w:t xml:space="preserve"> for all </w:t>
      </w:r>
      <w:r w:rsidRPr="001763AE">
        <w:t xml:space="preserve">five pilot PAs </w:t>
      </w:r>
      <w:r w:rsidR="000074A2" w:rsidRPr="001763AE">
        <w:t>using</w:t>
      </w:r>
      <w:r w:rsidR="00721C3F" w:rsidRPr="001763AE">
        <w:t xml:space="preserve"> a common structure (see </w:t>
      </w:r>
      <w:r w:rsidR="00217E75" w:rsidRPr="001763AE">
        <w:fldChar w:fldCharType="begin"/>
      </w:r>
      <w:r w:rsidR="00721C3F" w:rsidRPr="001763AE">
        <w:instrText xml:space="preserve"> REF _Ref391635159 \h </w:instrText>
      </w:r>
      <w:r w:rsidR="00217E75" w:rsidRPr="001763AE">
        <w:fldChar w:fldCharType="separate"/>
      </w:r>
      <w:r w:rsidR="00D406FE" w:rsidRPr="001763AE">
        <w:t xml:space="preserve">Table </w:t>
      </w:r>
      <w:r w:rsidR="00D406FE">
        <w:rPr>
          <w:noProof/>
        </w:rPr>
        <w:t>21</w:t>
      </w:r>
      <w:r w:rsidR="00217E75" w:rsidRPr="001763AE">
        <w:fldChar w:fldCharType="end"/>
      </w:r>
      <w:r w:rsidR="00721C3F" w:rsidRPr="001763AE">
        <w:t>)</w:t>
      </w:r>
      <w:r w:rsidR="00427F20" w:rsidRPr="001763AE">
        <w:t xml:space="preserve">. </w:t>
      </w:r>
      <w:r w:rsidR="00721C3F" w:rsidRPr="001763AE">
        <w:t>Development of the final plans included a round of stakeholder consultation</w:t>
      </w:r>
      <w:r w:rsidR="00427F20" w:rsidRPr="001763AE">
        <w:t xml:space="preserve">. </w:t>
      </w:r>
      <w:r w:rsidRPr="001763AE">
        <w:t>Impo</w:t>
      </w:r>
      <w:r w:rsidR="00E42326" w:rsidRPr="001763AE">
        <w:t xml:space="preserve">rtantly, the </w:t>
      </w:r>
      <w:r w:rsidRPr="001763AE">
        <w:t xml:space="preserve">business plans </w:t>
      </w:r>
      <w:r w:rsidR="000074A2" w:rsidRPr="001763AE">
        <w:t>are integrated</w:t>
      </w:r>
      <w:r w:rsidR="00165FAC" w:rsidRPr="001763AE">
        <w:t xml:space="preserve"> with the managemen</w:t>
      </w:r>
      <w:r w:rsidR="000074A2" w:rsidRPr="001763AE">
        <w:t>t plans for the protected areas, the budgets</w:t>
      </w:r>
      <w:r w:rsidR="00165FAC" w:rsidRPr="001763AE">
        <w:t xml:space="preserve"> developed </w:t>
      </w:r>
      <w:r w:rsidR="000074A2" w:rsidRPr="001763AE">
        <w:t xml:space="preserve">for </w:t>
      </w:r>
      <w:r w:rsidR="00165FAC" w:rsidRPr="001763AE">
        <w:t xml:space="preserve">implementing </w:t>
      </w:r>
      <w:r w:rsidR="000074A2" w:rsidRPr="001763AE">
        <w:t xml:space="preserve">the </w:t>
      </w:r>
      <w:r w:rsidR="00165FAC" w:rsidRPr="001763AE">
        <w:t>management plans</w:t>
      </w:r>
      <w:r w:rsidR="00E44AE6">
        <w:t>,</w:t>
      </w:r>
      <w:r w:rsidR="00165FAC" w:rsidRPr="001763AE">
        <w:t xml:space="preserve"> and the computerised financial management system (FMS) designed to record income and expenditure against planned activities</w:t>
      </w:r>
      <w:r w:rsidR="00427F20" w:rsidRPr="001763AE">
        <w:t xml:space="preserve">. </w:t>
      </w:r>
      <w:r w:rsidR="00165FAC" w:rsidRPr="001763AE">
        <w:t xml:space="preserve">This </w:t>
      </w:r>
      <w:r w:rsidR="000074A2" w:rsidRPr="001763AE">
        <w:t xml:space="preserve">has </w:t>
      </w:r>
      <w:r w:rsidR="00E44AE6">
        <w:t xml:space="preserve">enabled </w:t>
      </w:r>
      <w:r w:rsidR="00165FAC" w:rsidRPr="001763AE">
        <w:t>protected area directors to see clear links between activities</w:t>
      </w:r>
      <w:r w:rsidR="000074A2" w:rsidRPr="001763AE">
        <w:t>,</w:t>
      </w:r>
      <w:r w:rsidR="00165FAC" w:rsidRPr="001763AE">
        <w:t xml:space="preserve"> budgets</w:t>
      </w:r>
      <w:r w:rsidR="000074A2" w:rsidRPr="001763AE">
        <w:t>,</w:t>
      </w:r>
      <w:r w:rsidR="00165FAC" w:rsidRPr="001763AE">
        <w:t xml:space="preserve"> funding gaps and opportunities for increasing and diversifying income</w:t>
      </w:r>
      <w:r w:rsidR="00394D87">
        <w:t xml:space="preserve">. Directors have found </w:t>
      </w:r>
      <w:r w:rsidR="001E1202" w:rsidRPr="001763AE">
        <w:t>the</w:t>
      </w:r>
      <w:r w:rsidR="000074A2" w:rsidRPr="001763AE">
        <w:t xml:space="preserve"> business plans very </w:t>
      </w:r>
      <w:r w:rsidR="001E1202" w:rsidRPr="001763AE">
        <w:t xml:space="preserve">useful in guiding them towards feasible opportunities </w:t>
      </w:r>
      <w:r w:rsidR="000074A2" w:rsidRPr="001763AE">
        <w:t xml:space="preserve">and potential partnerships </w:t>
      </w:r>
      <w:r w:rsidR="001E1202" w:rsidRPr="001763AE">
        <w:t>for increasing funding</w:t>
      </w:r>
      <w:r w:rsidR="00E44AE6">
        <w:t xml:space="preserve">. </w:t>
      </w:r>
      <w:r w:rsidR="00724D45">
        <w:t xml:space="preserve">A few </w:t>
      </w:r>
      <w:r w:rsidR="001E1202" w:rsidRPr="001763AE">
        <w:t xml:space="preserve">of the recommended fundraising approaches were </w:t>
      </w:r>
      <w:r w:rsidR="00724D45">
        <w:t xml:space="preserve">considered to be </w:t>
      </w:r>
      <w:r w:rsidR="001E1202" w:rsidRPr="001763AE">
        <w:t>unrealistic</w:t>
      </w:r>
      <w:r w:rsidR="00724D45">
        <w:t xml:space="preserve"> (although many have proved to be quite feasible)</w:t>
      </w:r>
      <w:r w:rsidR="00E44AE6">
        <w:t xml:space="preserve">. A more serious concern </w:t>
      </w:r>
      <w:r w:rsidR="00724D45">
        <w:t>is</w:t>
      </w:r>
      <w:r w:rsidR="00E44AE6">
        <w:t xml:space="preserve"> that </w:t>
      </w:r>
      <w:r w:rsidR="001E1202" w:rsidRPr="001763AE">
        <w:t>since no additional budgets</w:t>
      </w:r>
      <w:r w:rsidR="00E44AE6">
        <w:t xml:space="preserve"> or human resources</w:t>
      </w:r>
      <w:r w:rsidR="00724D45">
        <w:t xml:space="preserve"> have</w:t>
      </w:r>
      <w:r w:rsidR="001E1202" w:rsidRPr="001763AE">
        <w:t xml:space="preserve"> been allocated for implementing the business plans</w:t>
      </w:r>
      <w:r w:rsidR="00E44AE6">
        <w:t xml:space="preserve"> and fundraising</w:t>
      </w:r>
      <w:r w:rsidR="001E1202" w:rsidRPr="001763AE">
        <w:t xml:space="preserve">, </w:t>
      </w:r>
      <w:r w:rsidR="00695209" w:rsidRPr="001763AE">
        <w:t xml:space="preserve">making the best use of them </w:t>
      </w:r>
      <w:r w:rsidR="00394D87">
        <w:t>places</w:t>
      </w:r>
      <w:r w:rsidR="00695209" w:rsidRPr="001763AE">
        <w:t xml:space="preserve"> an additional stra</w:t>
      </w:r>
      <w:r w:rsidR="00E44AE6">
        <w:t>in on already</w:t>
      </w:r>
      <w:r w:rsidR="00394D87">
        <w:t xml:space="preserve"> limited resources and diverts</w:t>
      </w:r>
      <w:r w:rsidR="00E44AE6">
        <w:t xml:space="preserve"> some PA staff from their core duties. Establishment of the Business Development Unit by the project </w:t>
      </w:r>
      <w:r w:rsidR="00724D45">
        <w:t>was intended to address this issue; although the BDU has not materialised, an alternative means of supporting business plan implementation (and specifically developing funding partnerships) is required, as a certain amount of investment is required to realise the potential of the plans.</w:t>
      </w:r>
    </w:p>
    <w:p w:rsidR="00975DC3" w:rsidRPr="001763AE" w:rsidRDefault="00975DC3" w:rsidP="00975DC3">
      <w:pPr>
        <w:pStyle w:val="Caption"/>
      </w:pPr>
      <w:bookmarkStart w:id="33" w:name="_Ref391635159"/>
      <w:r w:rsidRPr="001763AE">
        <w:t xml:space="preserve">Table </w:t>
      </w:r>
      <w:r w:rsidR="00C072C9">
        <w:fldChar w:fldCharType="begin"/>
      </w:r>
      <w:r w:rsidR="00C072C9">
        <w:instrText xml:space="preserve"> SEQ Table \* ARABIC </w:instrText>
      </w:r>
      <w:r w:rsidR="00C072C9">
        <w:fldChar w:fldCharType="separate"/>
      </w:r>
      <w:r w:rsidR="00D406FE">
        <w:rPr>
          <w:noProof/>
        </w:rPr>
        <w:t>21</w:t>
      </w:r>
      <w:r w:rsidR="00C072C9">
        <w:rPr>
          <w:noProof/>
        </w:rPr>
        <w:fldChar w:fldCharType="end"/>
      </w:r>
      <w:bookmarkEnd w:id="33"/>
      <w:r w:rsidR="006E16CE" w:rsidRPr="001763AE">
        <w:t xml:space="preserve"> </w:t>
      </w:r>
      <w:r w:rsidR="00721C3F" w:rsidRPr="001763AE">
        <w:t>Table of contents of protected area business plans</w:t>
      </w:r>
    </w:p>
    <w:tbl>
      <w:tblPr>
        <w:tblStyle w:val="Style1"/>
        <w:tblW w:w="0" w:type="auto"/>
        <w:tblLook w:val="04A0" w:firstRow="1" w:lastRow="0" w:firstColumn="1" w:lastColumn="0" w:noHBand="0" w:noVBand="1"/>
      </w:tblPr>
      <w:tblGrid>
        <w:gridCol w:w="9855"/>
      </w:tblGrid>
      <w:tr w:rsidR="00975DC3" w:rsidRPr="001763AE" w:rsidTr="00BE2CA4">
        <w:tc>
          <w:tcPr>
            <w:tcW w:w="10026" w:type="dxa"/>
          </w:tcPr>
          <w:p w:rsidR="00975DC3" w:rsidRPr="001763AE" w:rsidRDefault="00975DC3" w:rsidP="00BE2CA4">
            <w:r w:rsidRPr="001763AE">
              <w:t>1</w:t>
            </w:r>
            <w:r w:rsidR="00427F20" w:rsidRPr="001763AE">
              <w:t xml:space="preserve">. </w:t>
            </w:r>
            <w:r w:rsidRPr="001763AE">
              <w:tab/>
              <w:t>Background</w:t>
            </w:r>
          </w:p>
          <w:p w:rsidR="00975DC3" w:rsidRPr="001763AE" w:rsidRDefault="00975DC3" w:rsidP="00BE2CA4">
            <w:r w:rsidRPr="001763AE">
              <w:t>2</w:t>
            </w:r>
            <w:r w:rsidR="00427F20" w:rsidRPr="001763AE">
              <w:t xml:space="preserve">. </w:t>
            </w:r>
            <w:r w:rsidRPr="001763AE">
              <w:tab/>
              <w:t>Conservation goals, objectives, operations &amp; investments</w:t>
            </w:r>
          </w:p>
          <w:p w:rsidR="00975DC3" w:rsidRPr="001763AE" w:rsidRDefault="00975DC3" w:rsidP="00BE2CA4">
            <w:r w:rsidRPr="001763AE">
              <w:t>3</w:t>
            </w:r>
            <w:r w:rsidR="00427F20" w:rsidRPr="001763AE">
              <w:t xml:space="preserve">. </w:t>
            </w:r>
            <w:r w:rsidRPr="001763AE">
              <w:tab/>
              <w:t>Financial situation, barriers, needs and gaps</w:t>
            </w:r>
          </w:p>
          <w:p w:rsidR="00975DC3" w:rsidRPr="001763AE" w:rsidRDefault="00975DC3" w:rsidP="00BE2CA4">
            <w:r w:rsidRPr="001763AE">
              <w:t>4</w:t>
            </w:r>
            <w:r w:rsidR="00427F20" w:rsidRPr="001763AE">
              <w:t xml:space="preserve">. </w:t>
            </w:r>
            <w:r w:rsidRPr="001763AE">
              <w:tab/>
              <w:t>Financial strategies (revenue options)</w:t>
            </w:r>
          </w:p>
          <w:p w:rsidR="00975DC3" w:rsidRPr="001763AE" w:rsidRDefault="00975DC3" w:rsidP="00BE2CA4">
            <w:r w:rsidRPr="001763AE">
              <w:t>4</w:t>
            </w:r>
            <w:r w:rsidR="007C63A9" w:rsidRPr="001763AE">
              <w:t>.1</w:t>
            </w:r>
            <w:r w:rsidR="00427F20" w:rsidRPr="001763AE">
              <w:t xml:space="preserve">. </w:t>
            </w:r>
            <w:r w:rsidRPr="001763AE">
              <w:tab/>
              <w:t>Non-market mechanisms</w:t>
            </w:r>
          </w:p>
          <w:p w:rsidR="00975DC3" w:rsidRPr="001763AE" w:rsidRDefault="00975DC3" w:rsidP="00BE2CA4">
            <w:r w:rsidRPr="001763AE">
              <w:t>4</w:t>
            </w:r>
            <w:r w:rsidR="007C63A9" w:rsidRPr="001763AE">
              <w:t>.2</w:t>
            </w:r>
            <w:r w:rsidR="00427F20" w:rsidRPr="001763AE">
              <w:t xml:space="preserve">. </w:t>
            </w:r>
            <w:r w:rsidRPr="001763AE">
              <w:tab/>
              <w:t>Market-based mechanisms</w:t>
            </w:r>
          </w:p>
          <w:p w:rsidR="00975DC3" w:rsidRPr="001763AE" w:rsidRDefault="00975DC3" w:rsidP="00BE2CA4">
            <w:r w:rsidRPr="001763AE">
              <w:t>5</w:t>
            </w:r>
            <w:r w:rsidR="00427F20" w:rsidRPr="001763AE">
              <w:t xml:space="preserve">. </w:t>
            </w:r>
            <w:r w:rsidRPr="001763AE">
              <w:tab/>
              <w:t>Cost-saving strategies</w:t>
            </w:r>
          </w:p>
          <w:p w:rsidR="00975DC3" w:rsidRPr="001763AE" w:rsidRDefault="00975DC3" w:rsidP="00BE2CA4">
            <w:r w:rsidRPr="001763AE">
              <w:t>6</w:t>
            </w:r>
            <w:r w:rsidR="00427F20" w:rsidRPr="001763AE">
              <w:t xml:space="preserve">. </w:t>
            </w:r>
            <w:r w:rsidRPr="001763AE">
              <w:tab/>
              <w:t>Funding priorities</w:t>
            </w:r>
          </w:p>
          <w:p w:rsidR="00975DC3" w:rsidRPr="001763AE" w:rsidRDefault="00975DC3" w:rsidP="00BE2CA4">
            <w:r w:rsidRPr="001763AE">
              <w:t>7</w:t>
            </w:r>
            <w:r w:rsidR="00427F20" w:rsidRPr="001763AE">
              <w:t xml:space="preserve">. </w:t>
            </w:r>
            <w:r w:rsidRPr="001763AE">
              <w:tab/>
              <w:t>Economic impact</w:t>
            </w:r>
            <w:r w:rsidRPr="001763AE">
              <w:tab/>
            </w:r>
          </w:p>
          <w:p w:rsidR="00975DC3" w:rsidRPr="001763AE" w:rsidRDefault="00975DC3" w:rsidP="00BE2CA4">
            <w:r w:rsidRPr="001763AE">
              <w:t>8</w:t>
            </w:r>
            <w:r w:rsidR="00427F20" w:rsidRPr="001763AE">
              <w:t xml:space="preserve">. </w:t>
            </w:r>
            <w:r w:rsidRPr="001763AE">
              <w:tab/>
              <w:t>Management and reporting</w:t>
            </w:r>
          </w:p>
          <w:p w:rsidR="00975DC3" w:rsidRPr="001763AE" w:rsidRDefault="00975DC3" w:rsidP="00BE2CA4">
            <w:r w:rsidRPr="001763AE">
              <w:t>9</w:t>
            </w:r>
            <w:r w:rsidR="00427F20" w:rsidRPr="001763AE">
              <w:t xml:space="preserve">. </w:t>
            </w:r>
            <w:r w:rsidRPr="001763AE">
              <w:tab/>
              <w:t>Implementation plan, cost and performance indicators</w:t>
            </w:r>
          </w:p>
        </w:tc>
      </w:tr>
    </w:tbl>
    <w:p w:rsidR="00427F20" w:rsidRPr="001763AE" w:rsidRDefault="00975DC3" w:rsidP="00DB28F8">
      <w:pPr>
        <w:pStyle w:val="NumberedPara"/>
        <w:numPr>
          <w:ilvl w:val="0"/>
          <w:numId w:val="0"/>
        </w:numPr>
      </w:pPr>
      <w:r w:rsidRPr="001763AE">
        <w:t xml:space="preserve">The budgets and business plans elaborated for the five pilot parks all include strategies for cost saving, mainly through improved efficiency and more targeted use of </w:t>
      </w:r>
      <w:r w:rsidR="00394D87">
        <w:t xml:space="preserve">the </w:t>
      </w:r>
      <w:r w:rsidRPr="001763AE">
        <w:t>limited funds that are available</w:t>
      </w:r>
      <w:r w:rsidR="00427F20" w:rsidRPr="001763AE">
        <w:t xml:space="preserve">. </w:t>
      </w:r>
      <w:r w:rsidRPr="001763AE">
        <w:t>Directors of all the pilot protected areas stated that the FMS was particularly useful in helping them to plan and monitor allocation and monitoring of staff time to ensure improved efficiency</w:t>
      </w:r>
      <w:r w:rsidR="00427F20" w:rsidRPr="001763AE">
        <w:t xml:space="preserve">. </w:t>
      </w:r>
      <w:r w:rsidRPr="001763AE">
        <w:t>However the following observation in mid-ter</w:t>
      </w:r>
      <w:r w:rsidR="00E2202C" w:rsidRPr="001763AE">
        <w:t>m e</w:t>
      </w:r>
      <w:r w:rsidRPr="001763AE">
        <w:t>valuation report remains true ‘</w:t>
      </w:r>
      <w:r w:rsidRPr="001763AE">
        <w:rPr>
          <w:i/>
        </w:rPr>
        <w:t>cost reduction strategies…</w:t>
      </w:r>
      <w:r w:rsidR="00427F20" w:rsidRPr="001763AE">
        <w:rPr>
          <w:i/>
        </w:rPr>
        <w:t xml:space="preserve">. </w:t>
      </w:r>
      <w:r w:rsidR="00E2202C" w:rsidRPr="001763AE">
        <w:rPr>
          <w:i/>
        </w:rPr>
        <w:t>wi</w:t>
      </w:r>
      <w:r w:rsidRPr="001763AE">
        <w:rPr>
          <w:i/>
        </w:rPr>
        <w:t>ll become more effective once the optimum level of financing is reached</w:t>
      </w:r>
      <w:r w:rsidR="00427F20" w:rsidRPr="001763AE">
        <w:rPr>
          <w:i/>
        </w:rPr>
        <w:t xml:space="preserve">. </w:t>
      </w:r>
      <w:r w:rsidRPr="001763AE">
        <w:rPr>
          <w:i/>
        </w:rPr>
        <w:t>So far, the PAs are still underfinanced and there is little applicability for measures that involve maximum impact and minimum costs since all management or conservation measures are implemented at minimum costs’</w:t>
      </w:r>
      <w:r w:rsidR="00427F20" w:rsidRPr="001763AE">
        <w:t>.</w:t>
      </w:r>
    </w:p>
    <w:p w:rsidR="007665EF" w:rsidRPr="001763AE" w:rsidRDefault="007665EF" w:rsidP="007665EF">
      <w:pPr>
        <w:pStyle w:val="Heading6"/>
      </w:pPr>
      <w:r w:rsidRPr="001763AE">
        <w:t>Evaluation</w:t>
      </w:r>
    </w:p>
    <w:p w:rsidR="00427F20" w:rsidRPr="001763AE" w:rsidRDefault="00975DC3" w:rsidP="00DB28F8">
      <w:pPr>
        <w:pStyle w:val="NumberedPara"/>
        <w:numPr>
          <w:ilvl w:val="0"/>
          <w:numId w:val="0"/>
        </w:numPr>
        <w:rPr>
          <w:b/>
          <w:i/>
        </w:rPr>
      </w:pPr>
      <w:r w:rsidRPr="001763AE">
        <w:t xml:space="preserve">This </w:t>
      </w:r>
      <w:r w:rsidR="007665EF" w:rsidRPr="001763AE">
        <w:t xml:space="preserve">output </w:t>
      </w:r>
      <w:r w:rsidRPr="001763AE">
        <w:t xml:space="preserve">is evaluated as </w:t>
      </w:r>
      <w:r w:rsidRPr="00385D8D">
        <w:rPr>
          <w:b/>
        </w:rPr>
        <w:t>Satisfactory</w:t>
      </w:r>
      <w:r w:rsidR="00385D8D">
        <w:rPr>
          <w:b/>
        </w:rPr>
        <w:t xml:space="preserve"> (S)</w:t>
      </w:r>
      <w:r w:rsidR="00385D8D">
        <w:t>, with only minor shortcomings.</w:t>
      </w:r>
    </w:p>
    <w:p w:rsidR="00427F20" w:rsidRPr="001763AE" w:rsidRDefault="00975DC3" w:rsidP="00975DC3">
      <w:pPr>
        <w:pStyle w:val="Heading5"/>
      </w:pPr>
      <w:r w:rsidRPr="001763AE">
        <w:t>Output 1</w:t>
      </w:r>
      <w:r w:rsidR="006C3433" w:rsidRPr="001763AE">
        <w:t>.5</w:t>
      </w:r>
      <w:r w:rsidR="00462874">
        <w:t xml:space="preserve">: A set of </w:t>
      </w:r>
      <w:r w:rsidRPr="001763AE">
        <w:t>diversified</w:t>
      </w:r>
      <w:r w:rsidR="00462874">
        <w:t xml:space="preserve"> PA</w:t>
      </w:r>
      <w:r w:rsidRPr="001763AE">
        <w:t xml:space="preserve"> income-generation mechanisms (market and non-market optio</w:t>
      </w:r>
      <w:r w:rsidR="000074A2" w:rsidRPr="001763AE">
        <w:t>ns) validated in at least 3 PAs</w:t>
      </w:r>
      <w:r w:rsidR="00427F20" w:rsidRPr="001763AE">
        <w:t>.</w:t>
      </w:r>
    </w:p>
    <w:p w:rsidR="00954B9E" w:rsidRPr="001763AE" w:rsidRDefault="00055B3D" w:rsidP="00954B9E">
      <w:pPr>
        <w:pStyle w:val="Heading6"/>
      </w:pPr>
      <w:r w:rsidRPr="001763AE">
        <w:t xml:space="preserve">Indicator: </w:t>
      </w:r>
      <w:r w:rsidR="00954B9E" w:rsidRPr="001763AE">
        <w:t>Sites with diversified market-based instruments for PA funding</w:t>
      </w:r>
    </w:p>
    <w:p w:rsidR="00427F20" w:rsidRPr="001763AE" w:rsidRDefault="00352DEE" w:rsidP="00DB28F8">
      <w:pPr>
        <w:pStyle w:val="NumberedPara"/>
        <w:numPr>
          <w:ilvl w:val="0"/>
          <w:numId w:val="0"/>
        </w:numPr>
      </w:pPr>
      <w:r w:rsidRPr="001763AE">
        <w:t xml:space="preserve">The project has </w:t>
      </w:r>
      <w:r w:rsidR="00975DC3" w:rsidRPr="001763AE">
        <w:t>had far more success at the protected area level</w:t>
      </w:r>
      <w:r w:rsidR="00165FAC" w:rsidRPr="001763AE">
        <w:t xml:space="preserve"> than at the central level in identifying and mobilising new sources o</w:t>
      </w:r>
      <w:r w:rsidR="00206C06" w:rsidRPr="001763AE">
        <w:t>f funds</w:t>
      </w:r>
      <w:r w:rsidR="00427F20" w:rsidRPr="001763AE">
        <w:t xml:space="preserve">. </w:t>
      </w:r>
      <w:r w:rsidR="00206C06" w:rsidRPr="001763AE">
        <w:t>Alongside support and guidance provided by the project, the NFA has instructed that protected areas should aim to cover 5% of their budgets through local funding initiatives and partnerships</w:t>
      </w:r>
      <w:r w:rsidR="00427F20" w:rsidRPr="001763AE">
        <w:t xml:space="preserve">. </w:t>
      </w:r>
      <w:r w:rsidR="00206C06" w:rsidRPr="001763AE">
        <w:t>Consequently, a</w:t>
      </w:r>
      <w:r w:rsidR="00975DC3" w:rsidRPr="001763AE">
        <w:t xml:space="preserve">ll five pilot protected areas </w:t>
      </w:r>
      <w:r w:rsidR="000F5495" w:rsidRPr="001763AE">
        <w:t xml:space="preserve">and some other </w:t>
      </w:r>
      <w:r w:rsidR="00257D2E" w:rsidRPr="001763AE">
        <w:t xml:space="preserve">Carpathian protected areas </w:t>
      </w:r>
      <w:r w:rsidR="00975DC3" w:rsidRPr="001763AE">
        <w:t xml:space="preserve">have </w:t>
      </w:r>
      <w:r w:rsidR="008B6485" w:rsidRPr="001763AE">
        <w:t xml:space="preserve">successfully </w:t>
      </w:r>
      <w:r w:rsidR="00975DC3" w:rsidRPr="001763AE">
        <w:t>introduced, or are about to introduce market based instruments</w:t>
      </w:r>
      <w:r w:rsidR="00206C06" w:rsidRPr="001763AE">
        <w:t xml:space="preserve"> </w:t>
      </w:r>
      <w:r w:rsidR="00975DC3" w:rsidRPr="001763AE">
        <w:t xml:space="preserve">for </w:t>
      </w:r>
      <w:r w:rsidR="00206C06" w:rsidRPr="001763AE">
        <w:t xml:space="preserve">protected area funding (see </w:t>
      </w:r>
      <w:r w:rsidR="00217E75" w:rsidRPr="001763AE">
        <w:fldChar w:fldCharType="begin"/>
      </w:r>
      <w:r w:rsidR="00206C06" w:rsidRPr="001763AE">
        <w:instrText xml:space="preserve"> REF _Ref391899448 \h </w:instrText>
      </w:r>
      <w:r w:rsidR="00217E75" w:rsidRPr="001763AE">
        <w:fldChar w:fldCharType="separate"/>
      </w:r>
      <w:r w:rsidR="00D406FE" w:rsidRPr="001763AE">
        <w:t xml:space="preserve">Table </w:t>
      </w:r>
      <w:r w:rsidR="00D406FE">
        <w:rPr>
          <w:noProof/>
        </w:rPr>
        <w:t>22</w:t>
      </w:r>
      <w:r w:rsidR="00217E75" w:rsidRPr="001763AE">
        <w:fldChar w:fldCharType="end"/>
      </w:r>
      <w:r w:rsidR="00206C06" w:rsidRPr="001763AE">
        <w:t>)</w:t>
      </w:r>
      <w:r w:rsidR="00427F20" w:rsidRPr="001763AE">
        <w:t xml:space="preserve">. </w:t>
      </w:r>
      <w:r w:rsidR="000074A2" w:rsidRPr="001763AE">
        <w:t>This exceeds the target of three sites, and i</w:t>
      </w:r>
      <w:r w:rsidR="00257D2E" w:rsidRPr="001763AE">
        <w:t>n all cases there is considerable potential for increasing the funding in future years</w:t>
      </w:r>
      <w:r w:rsidR="00427F20" w:rsidRPr="001763AE">
        <w:t>.</w:t>
      </w:r>
    </w:p>
    <w:p w:rsidR="0025256D" w:rsidRDefault="008B6485" w:rsidP="00DB28F8">
      <w:pPr>
        <w:pStyle w:val="NumberedPara"/>
        <w:numPr>
          <w:ilvl w:val="0"/>
          <w:numId w:val="0"/>
        </w:numPr>
      </w:pPr>
      <w:r w:rsidRPr="001763AE">
        <w:t>Figures provided by the project following a reques</w:t>
      </w:r>
      <w:r w:rsidR="00394D87">
        <w:t>t during the evaluation mission</w:t>
      </w:r>
      <w:r w:rsidRPr="001763AE">
        <w:t xml:space="preserve"> suggest that</w:t>
      </w:r>
      <w:r w:rsidR="00317D44" w:rsidRPr="001763AE">
        <w:t xml:space="preserve"> these new sources of income appear to be</w:t>
      </w:r>
      <w:r w:rsidRPr="001763AE">
        <w:t xml:space="preserve"> closing the funding gap for protected areas quite significantly. When aggregated across all the Carpathian protected areas the funding gap appears to be only 23% of what it was in 2010, and some sites appear to have made a significant surplus. This is encouraging, but three major factors have to be taken into consideration</w:t>
      </w:r>
    </w:p>
    <w:p w:rsidR="003F2561" w:rsidRPr="001763AE" w:rsidRDefault="007E2985" w:rsidP="00352DEE">
      <w:pPr>
        <w:pStyle w:val="NumberedPara"/>
        <w:numPr>
          <w:ilvl w:val="0"/>
          <w:numId w:val="0"/>
        </w:numPr>
        <w:ind w:left="284"/>
      </w:pPr>
      <w:r>
        <w:t>a)</w:t>
      </w:r>
      <w:r>
        <w:tab/>
        <w:t>A</w:t>
      </w:r>
      <w:r w:rsidR="008B6485" w:rsidRPr="001763AE">
        <w:t xml:space="preserve">lmost 50% of the income to the protected areas has been </w:t>
      </w:r>
      <w:r w:rsidR="00394D87">
        <w:t xml:space="preserve">from </w:t>
      </w:r>
      <w:r w:rsidR="008B6485" w:rsidRPr="001763AE">
        <w:t>project funds. In 2013</w:t>
      </w:r>
      <w:r w:rsidR="00317D44" w:rsidRPr="001763AE">
        <w:t>, the</w:t>
      </w:r>
      <w:r w:rsidR="008B6485" w:rsidRPr="001763AE">
        <w:t xml:space="preserve"> total </w:t>
      </w:r>
      <w:r w:rsidR="003F2561" w:rsidRPr="001763AE">
        <w:t>contribution</w:t>
      </w:r>
      <w:r w:rsidR="00317D44" w:rsidRPr="001763AE">
        <w:t xml:space="preserve"> by NFA was $3.325 million,</w:t>
      </w:r>
      <w:r w:rsidR="003F2561" w:rsidRPr="001763AE">
        <w:t xml:space="preserve"> locally generated funds amounted to $0.422 million and externally funded projects </w:t>
      </w:r>
      <w:r w:rsidR="008B74DE" w:rsidRPr="001763AE">
        <w:t>contributed</w:t>
      </w:r>
      <w:r w:rsidR="003F2561" w:rsidRPr="001763AE">
        <w:t xml:space="preserve"> $3</w:t>
      </w:r>
      <w:r w:rsidR="008B74DE" w:rsidRPr="001763AE">
        <w:t xml:space="preserve">.633 million. This shows a </w:t>
      </w:r>
      <w:r w:rsidR="00317D44" w:rsidRPr="001763AE">
        <w:t xml:space="preserve">continued </w:t>
      </w:r>
      <w:r w:rsidR="008B74DE" w:rsidRPr="001763AE">
        <w:t>hi</w:t>
      </w:r>
      <w:r w:rsidR="00352DEE" w:rsidRPr="001763AE">
        <w:t>gh dependency on project funds, which are not normally considered to be s</w:t>
      </w:r>
      <w:r w:rsidR="007A0AA0">
        <w:t>ustainable sources of financing (and which are not considered as future sources of income in the business plans).</w:t>
      </w:r>
    </w:p>
    <w:p w:rsidR="003F2561" w:rsidRPr="001763AE" w:rsidRDefault="007E2985" w:rsidP="00352DEE">
      <w:pPr>
        <w:pStyle w:val="NumberedPara"/>
        <w:numPr>
          <w:ilvl w:val="0"/>
          <w:numId w:val="0"/>
        </w:numPr>
        <w:ind w:left="284"/>
      </w:pPr>
      <w:r>
        <w:t>b)</w:t>
      </w:r>
      <w:r>
        <w:tab/>
      </w:r>
      <w:r w:rsidR="00394D87">
        <w:t>A</w:t>
      </w:r>
      <w:r w:rsidR="008B74DE" w:rsidRPr="001763AE">
        <w:t xml:space="preserve">s explained, project funds do not close the funding gap if the activities they support do not feature in the management plans and associated budgets of the protected areas. </w:t>
      </w:r>
      <w:r w:rsidR="0037246A" w:rsidRPr="001763AE">
        <w:t>For example, e</w:t>
      </w:r>
      <w:r w:rsidR="008B74DE" w:rsidRPr="001763AE">
        <w:t>xpenditure of project funds on a high specification visitor centre in Bucegi, while very welcome, cannot be assume</w:t>
      </w:r>
      <w:r w:rsidR="009275AB" w:rsidRPr="001763AE">
        <w:t>d to have created the reported</w:t>
      </w:r>
      <w:r w:rsidR="008B74DE" w:rsidRPr="001763AE">
        <w:t xml:space="preserve"> surplus of over $585,000 in 2013</w:t>
      </w:r>
      <w:r w:rsidR="009275AB" w:rsidRPr="001763AE">
        <w:t>.</w:t>
      </w:r>
    </w:p>
    <w:p w:rsidR="00427F20" w:rsidRDefault="007E2985" w:rsidP="00394D87">
      <w:pPr>
        <w:ind w:left="284"/>
        <w:jc w:val="both"/>
      </w:pPr>
      <w:bookmarkStart w:id="34" w:name="_Ref391901038"/>
      <w:bookmarkStart w:id="35" w:name="_Ref391985663"/>
      <w:r>
        <w:t>c)</w:t>
      </w:r>
      <w:r>
        <w:tab/>
      </w:r>
      <w:r w:rsidR="00394D87">
        <w:t>T</w:t>
      </w:r>
      <w:r w:rsidR="00684FB0" w:rsidRPr="001763AE">
        <w:t xml:space="preserve">here is a lack of </w:t>
      </w:r>
      <w:r w:rsidR="000B76C1" w:rsidRPr="001763AE">
        <w:t xml:space="preserve">a common understanding </w:t>
      </w:r>
      <w:r w:rsidR="00684FB0" w:rsidRPr="001763AE">
        <w:t xml:space="preserve">about </w:t>
      </w:r>
      <w:r w:rsidR="005C1E04" w:rsidRPr="001763AE">
        <w:t xml:space="preserve">the use and management of the </w:t>
      </w:r>
      <w:r w:rsidR="008775BC" w:rsidRPr="001763AE">
        <w:t xml:space="preserve">income </w:t>
      </w:r>
      <w:r w:rsidR="00317D44" w:rsidRPr="001763AE">
        <w:t xml:space="preserve">generated </w:t>
      </w:r>
      <w:r w:rsidR="008775BC" w:rsidRPr="001763AE">
        <w:t>locally</w:t>
      </w:r>
      <w:r w:rsidR="00317D44" w:rsidRPr="001763AE">
        <w:t xml:space="preserve"> </w:t>
      </w:r>
      <w:r w:rsidR="00975DC3" w:rsidRPr="001763AE">
        <w:t>by protected area</w:t>
      </w:r>
      <w:r w:rsidR="00317D44" w:rsidRPr="001763AE">
        <w:t xml:space="preserve"> administrations</w:t>
      </w:r>
      <w:r w:rsidR="005C1E04" w:rsidRPr="001763AE">
        <w:t xml:space="preserve">. Several respondents </w:t>
      </w:r>
      <w:r w:rsidR="00352DEE" w:rsidRPr="001763AE">
        <w:t xml:space="preserve">were of the opinion </w:t>
      </w:r>
      <w:r w:rsidR="007A0AA0">
        <w:t>that locally generated income wa</w:t>
      </w:r>
      <w:r w:rsidR="005C1E04" w:rsidRPr="001763AE">
        <w:t xml:space="preserve">s being </w:t>
      </w:r>
      <w:r w:rsidR="008775BC" w:rsidRPr="001763AE">
        <w:t>withheld</w:t>
      </w:r>
      <w:r w:rsidR="00975DC3" w:rsidRPr="001763AE">
        <w:t xml:space="preserve"> </w:t>
      </w:r>
      <w:r w:rsidR="00352DEE" w:rsidRPr="001763AE">
        <w:t>from protected area</w:t>
      </w:r>
      <w:r w:rsidR="008775BC" w:rsidRPr="001763AE">
        <w:t xml:space="preserve"> budgets </w:t>
      </w:r>
      <w:r w:rsidR="00975DC3" w:rsidRPr="001763AE">
        <w:t xml:space="preserve">by </w:t>
      </w:r>
      <w:r w:rsidR="00352DEE" w:rsidRPr="001763AE">
        <w:t xml:space="preserve">the </w:t>
      </w:r>
      <w:r w:rsidR="00975DC3" w:rsidRPr="001763AE">
        <w:t>NFA</w:t>
      </w:r>
      <w:r w:rsidR="000B76C1" w:rsidRPr="001763AE">
        <w:t xml:space="preserve">, </w:t>
      </w:r>
      <w:r w:rsidR="00317D44" w:rsidRPr="001763AE">
        <w:t>resulting in no net gain for the protected areas</w:t>
      </w:r>
      <w:r w:rsidR="000B76C1" w:rsidRPr="001763AE">
        <w:t xml:space="preserve">. In response to this </w:t>
      </w:r>
      <w:r w:rsidR="00306CE4" w:rsidRPr="001763AE">
        <w:t xml:space="preserve">issue </w:t>
      </w:r>
      <w:r w:rsidR="000B76C1" w:rsidRPr="001763AE">
        <w:t xml:space="preserve">the Director General of the NFA has clarified </w:t>
      </w:r>
      <w:r w:rsidR="007A0AA0">
        <w:t xml:space="preserve">in writing </w:t>
      </w:r>
      <w:r w:rsidR="000B76C1" w:rsidRPr="001763AE">
        <w:t>that this is not the case</w:t>
      </w:r>
      <w:r w:rsidR="00306CE4" w:rsidRPr="001763AE">
        <w:t>,</w:t>
      </w:r>
      <w:r w:rsidR="000B76C1" w:rsidRPr="001763AE">
        <w:t xml:space="preserve"> </w:t>
      </w:r>
      <w:r w:rsidR="007A0AA0">
        <w:t xml:space="preserve">stating that </w:t>
      </w:r>
      <w:r w:rsidR="007A0AA0" w:rsidRPr="007A0AA0">
        <w:rPr>
          <w:i/>
        </w:rPr>
        <w:t>‘</w:t>
      </w:r>
      <w:r w:rsidR="007A0AA0" w:rsidRPr="007A0AA0">
        <w:rPr>
          <w:bCs/>
          <w:i/>
          <w:lang w:val="en-US"/>
        </w:rPr>
        <w:t>The incomes generated by the Park Administrations are used by them directly – without being returned to NFA – for expenses related to the purchase of field equipment, office equipment, investments in infrastructure or the organization of awareness events’</w:t>
      </w:r>
      <w:r w:rsidR="007A0AA0" w:rsidRPr="006E5063">
        <w:rPr>
          <w:bCs/>
          <w:lang w:val="en-US"/>
        </w:rPr>
        <w:t xml:space="preserve">. </w:t>
      </w:r>
      <w:r w:rsidR="009C5E4B">
        <w:t>The</w:t>
      </w:r>
      <w:r w:rsidR="00352DEE" w:rsidRPr="001763AE">
        <w:t xml:space="preserve"> apparent misunderstandings </w:t>
      </w:r>
      <w:r w:rsidR="009C5E4B">
        <w:t xml:space="preserve">about the use of locally generated funds </w:t>
      </w:r>
      <w:r w:rsidR="00352DEE" w:rsidRPr="001763AE">
        <w:t xml:space="preserve">suggest </w:t>
      </w:r>
      <w:r w:rsidR="00394D87">
        <w:t xml:space="preserve">that </w:t>
      </w:r>
      <w:r w:rsidR="009C5E4B">
        <w:t xml:space="preserve">clearer guidance and </w:t>
      </w:r>
      <w:r w:rsidR="005D4926" w:rsidRPr="001763AE">
        <w:t xml:space="preserve">appropriate transparent procedures </w:t>
      </w:r>
      <w:r w:rsidR="009C5E4B">
        <w:t>are required to make</w:t>
      </w:r>
      <w:r w:rsidR="005D4926" w:rsidRPr="001763AE">
        <w:t xml:space="preserve"> clear to NFA staff, funding partners, the general public </w:t>
      </w:r>
      <w:r w:rsidR="009D486A" w:rsidRPr="001763AE">
        <w:t>as to</w:t>
      </w:r>
      <w:r w:rsidR="005D4926" w:rsidRPr="001763AE">
        <w:t xml:space="preserve"> how locally derived income is used.</w:t>
      </w:r>
      <w:bookmarkEnd w:id="34"/>
      <w:bookmarkEnd w:id="35"/>
    </w:p>
    <w:p w:rsidR="00394D87" w:rsidRPr="009C5E4B" w:rsidRDefault="00394D87" w:rsidP="00394D87">
      <w:pPr>
        <w:ind w:left="284"/>
        <w:jc w:val="both"/>
        <w:rPr>
          <w:bCs/>
          <w:lang w:val="en-US"/>
        </w:rPr>
      </w:pPr>
    </w:p>
    <w:p w:rsidR="00C71B3B" w:rsidRPr="001763AE" w:rsidRDefault="00C71B3B" w:rsidP="00C71B3B">
      <w:pPr>
        <w:pStyle w:val="Caption"/>
      </w:pPr>
      <w:bookmarkStart w:id="36" w:name="_Ref391899448"/>
      <w:r w:rsidRPr="001763AE">
        <w:t xml:space="preserve">Table </w:t>
      </w:r>
      <w:r w:rsidR="00C072C9">
        <w:fldChar w:fldCharType="begin"/>
      </w:r>
      <w:r w:rsidR="00C072C9">
        <w:instrText xml:space="preserve"> SEQ Table \* ARABIC </w:instrText>
      </w:r>
      <w:r w:rsidR="00C072C9">
        <w:fldChar w:fldCharType="separate"/>
      </w:r>
      <w:r w:rsidR="00D406FE">
        <w:rPr>
          <w:noProof/>
        </w:rPr>
        <w:t>22</w:t>
      </w:r>
      <w:r w:rsidR="00C072C9">
        <w:rPr>
          <w:noProof/>
        </w:rPr>
        <w:fldChar w:fldCharType="end"/>
      </w:r>
      <w:bookmarkEnd w:id="36"/>
      <w:r w:rsidRPr="001763AE">
        <w:t xml:space="preserve"> Examples of income generation by protected areas</w:t>
      </w:r>
    </w:p>
    <w:tbl>
      <w:tblPr>
        <w:tblStyle w:val="BasicReportTable"/>
        <w:tblW w:w="0" w:type="auto"/>
        <w:tblLook w:val="04A0" w:firstRow="1" w:lastRow="0" w:firstColumn="1" w:lastColumn="0" w:noHBand="0" w:noVBand="1"/>
      </w:tblPr>
      <w:tblGrid>
        <w:gridCol w:w="3279"/>
        <w:gridCol w:w="4200"/>
        <w:gridCol w:w="2376"/>
      </w:tblGrid>
      <w:tr w:rsidR="00C71B3B" w:rsidRPr="001763AE" w:rsidTr="005D4926">
        <w:trPr>
          <w:cnfStyle w:val="100000000000" w:firstRow="1" w:lastRow="0" w:firstColumn="0" w:lastColumn="0" w:oddVBand="0" w:evenVBand="0" w:oddHBand="0" w:evenHBand="0" w:firstRowFirstColumn="0" w:firstRowLastColumn="0" w:lastRowFirstColumn="0" w:lastRowLastColumn="0"/>
        </w:trPr>
        <w:tc>
          <w:tcPr>
            <w:tcW w:w="3279" w:type="dxa"/>
          </w:tcPr>
          <w:p w:rsidR="00C71B3B" w:rsidRPr="001763AE" w:rsidRDefault="00C71B3B" w:rsidP="004353F2">
            <w:r w:rsidRPr="001763AE">
              <w:t>Protected Area</w:t>
            </w:r>
          </w:p>
        </w:tc>
        <w:tc>
          <w:tcPr>
            <w:tcW w:w="4200" w:type="dxa"/>
          </w:tcPr>
          <w:p w:rsidR="00C71B3B" w:rsidRPr="001763AE" w:rsidRDefault="00C71B3B" w:rsidP="004353F2">
            <w:r w:rsidRPr="001763AE">
              <w:t>Methods used</w:t>
            </w:r>
          </w:p>
        </w:tc>
        <w:tc>
          <w:tcPr>
            <w:tcW w:w="2376" w:type="dxa"/>
          </w:tcPr>
          <w:p w:rsidR="00C71B3B" w:rsidRPr="001763AE" w:rsidRDefault="00C71B3B" w:rsidP="004353F2">
            <w:r w:rsidRPr="001763AE">
              <w:t>Income (2013)</w:t>
            </w:r>
          </w:p>
          <w:p w:rsidR="009B3D8A" w:rsidRPr="001763AE" w:rsidRDefault="009B3D8A" w:rsidP="004353F2">
            <w:r w:rsidRPr="001763AE">
              <w:t>Approximate: converted from RON to USD</w:t>
            </w:r>
          </w:p>
        </w:tc>
      </w:tr>
      <w:tr w:rsidR="00BE50F3" w:rsidRPr="001763AE" w:rsidTr="005D4926">
        <w:tc>
          <w:tcPr>
            <w:tcW w:w="3279" w:type="dxa"/>
          </w:tcPr>
          <w:p w:rsidR="00BE50F3" w:rsidRPr="001763AE" w:rsidRDefault="000F5495" w:rsidP="004353F2">
            <w:r w:rsidRPr="001763AE">
              <w:t>Retezat National Park</w:t>
            </w:r>
            <w:r w:rsidR="00603BC6">
              <w:t>.</w:t>
            </w:r>
          </w:p>
        </w:tc>
        <w:tc>
          <w:tcPr>
            <w:tcW w:w="4200" w:type="dxa"/>
          </w:tcPr>
          <w:p w:rsidR="00BE50F3" w:rsidRPr="001763AE" w:rsidRDefault="00BE50F3" w:rsidP="004353F2">
            <w:r w:rsidRPr="001763AE">
              <w:t>Entrance Tickets</w:t>
            </w:r>
            <w:r w:rsidR="00603BC6">
              <w:t>.</w:t>
            </w:r>
          </w:p>
          <w:p w:rsidR="00BE50F3" w:rsidRPr="001763AE" w:rsidRDefault="00BE50F3" w:rsidP="004353F2">
            <w:r w:rsidRPr="001763AE">
              <w:t>Accommodation</w:t>
            </w:r>
            <w:r w:rsidR="00603BC6">
              <w:t>.</w:t>
            </w:r>
          </w:p>
          <w:p w:rsidR="00BE50F3" w:rsidRPr="001763AE" w:rsidRDefault="00BE50F3" w:rsidP="004353F2">
            <w:r w:rsidRPr="001763AE">
              <w:t>Use of logo on park maps</w:t>
            </w:r>
            <w:r w:rsidR="00603BC6">
              <w:t>.</w:t>
            </w:r>
          </w:p>
          <w:p w:rsidR="00BE50F3" w:rsidRPr="001763AE" w:rsidRDefault="00BE50F3" w:rsidP="00BE50F3">
            <w:r w:rsidRPr="001763AE">
              <w:t>Permits</w:t>
            </w:r>
            <w:r w:rsidR="00603BC6">
              <w:t>.</w:t>
            </w:r>
          </w:p>
        </w:tc>
        <w:tc>
          <w:tcPr>
            <w:tcW w:w="2376" w:type="dxa"/>
          </w:tcPr>
          <w:p w:rsidR="00BE50F3" w:rsidRPr="001763AE" w:rsidRDefault="009B3D8A" w:rsidP="009B3D8A">
            <w:r w:rsidRPr="001763AE">
              <w:t>$27,000</w:t>
            </w:r>
          </w:p>
        </w:tc>
      </w:tr>
      <w:tr w:rsidR="00BE50F3" w:rsidRPr="001763AE" w:rsidTr="005D4926">
        <w:tc>
          <w:tcPr>
            <w:tcW w:w="3279" w:type="dxa"/>
          </w:tcPr>
          <w:p w:rsidR="00BE50F3" w:rsidRPr="001763AE" w:rsidRDefault="00DD1999" w:rsidP="004353F2">
            <w:r w:rsidRPr="001763AE">
              <w:t>Vanato</w:t>
            </w:r>
            <w:r w:rsidR="00BE50F3" w:rsidRPr="001763AE">
              <w:t>ri Neamt Nature Park</w:t>
            </w:r>
            <w:r w:rsidR="00603BC6">
              <w:t>.</w:t>
            </w:r>
          </w:p>
        </w:tc>
        <w:tc>
          <w:tcPr>
            <w:tcW w:w="4200" w:type="dxa"/>
          </w:tcPr>
          <w:p w:rsidR="00BE50F3" w:rsidRPr="001763AE" w:rsidRDefault="002E639E" w:rsidP="004353F2">
            <w:r w:rsidRPr="001763AE">
              <w:t xml:space="preserve">Products with </w:t>
            </w:r>
            <w:r w:rsidR="00BE50F3" w:rsidRPr="001763AE">
              <w:t>park logo</w:t>
            </w:r>
            <w:r w:rsidR="00603BC6">
              <w:t>.</w:t>
            </w:r>
          </w:p>
          <w:p w:rsidR="00BE50F3" w:rsidRPr="001763AE" w:rsidRDefault="00BE50F3" w:rsidP="004353F2">
            <w:r w:rsidRPr="001763AE">
              <w:t>Concessions, fees and permits</w:t>
            </w:r>
            <w:r w:rsidR="00603BC6">
              <w:t>.</w:t>
            </w:r>
          </w:p>
          <w:p w:rsidR="00BE50F3" w:rsidRPr="001763AE" w:rsidRDefault="002E639E" w:rsidP="004353F2">
            <w:r w:rsidRPr="001763AE">
              <w:t>C</w:t>
            </w:r>
            <w:r w:rsidR="00BE50F3" w:rsidRPr="001763AE">
              <w:t>ontract services</w:t>
            </w:r>
            <w:r w:rsidR="00603BC6">
              <w:t>.</w:t>
            </w:r>
          </w:p>
          <w:p w:rsidR="00BE50F3" w:rsidRPr="001763AE" w:rsidRDefault="00BE50F3" w:rsidP="004353F2">
            <w:r w:rsidRPr="001763AE">
              <w:t>Donation of food for animals by supermarket chain</w:t>
            </w:r>
            <w:r w:rsidR="00603BC6">
              <w:t>.</w:t>
            </w:r>
          </w:p>
        </w:tc>
        <w:tc>
          <w:tcPr>
            <w:tcW w:w="2376" w:type="dxa"/>
          </w:tcPr>
          <w:p w:rsidR="00BE50F3" w:rsidRPr="001763AE" w:rsidRDefault="009B3D8A" w:rsidP="004353F2">
            <w:r w:rsidRPr="001763AE">
              <w:t>$24,000</w:t>
            </w:r>
          </w:p>
        </w:tc>
      </w:tr>
      <w:tr w:rsidR="00BE50F3" w:rsidRPr="001763AE" w:rsidTr="005D4926">
        <w:tc>
          <w:tcPr>
            <w:tcW w:w="3279" w:type="dxa"/>
            <w:vMerge w:val="restart"/>
          </w:tcPr>
          <w:p w:rsidR="00BE50F3" w:rsidRPr="001763AE" w:rsidRDefault="00BE50F3" w:rsidP="004353F2">
            <w:r w:rsidRPr="001763AE">
              <w:t>Apuseni Nature Park</w:t>
            </w:r>
            <w:r w:rsidR="00603BC6">
              <w:t>.</w:t>
            </w:r>
          </w:p>
        </w:tc>
        <w:tc>
          <w:tcPr>
            <w:tcW w:w="4200" w:type="dxa"/>
          </w:tcPr>
          <w:p w:rsidR="00BE50F3" w:rsidRPr="001763AE" w:rsidRDefault="00BE50F3" w:rsidP="002E639E">
            <w:r w:rsidRPr="001763AE">
              <w:t>Charges for cave vis</w:t>
            </w:r>
            <w:r w:rsidR="002E639E" w:rsidRPr="001763AE">
              <w:t>it</w:t>
            </w:r>
            <w:r w:rsidRPr="001763AE">
              <w:t>ation ( (over 87</w:t>
            </w:r>
            <w:r w:rsidR="002E639E" w:rsidRPr="001763AE">
              <w:t>,</w:t>
            </w:r>
            <w:r w:rsidRPr="001763AE">
              <w:t>000 visitors)</w:t>
            </w:r>
            <w:r w:rsidR="00603BC6">
              <w:t>.</w:t>
            </w:r>
          </w:p>
        </w:tc>
        <w:tc>
          <w:tcPr>
            <w:tcW w:w="2376" w:type="dxa"/>
          </w:tcPr>
          <w:p w:rsidR="00BE50F3" w:rsidRPr="001763AE" w:rsidRDefault="009B3D8A" w:rsidP="004353F2">
            <w:r w:rsidRPr="001763AE">
              <w:t>$5,200</w:t>
            </w:r>
          </w:p>
        </w:tc>
      </w:tr>
      <w:tr w:rsidR="00BE50F3" w:rsidRPr="001763AE" w:rsidTr="005D4926">
        <w:tc>
          <w:tcPr>
            <w:tcW w:w="3279" w:type="dxa"/>
            <w:vMerge/>
          </w:tcPr>
          <w:p w:rsidR="00BE50F3" w:rsidRPr="001763AE" w:rsidRDefault="00BE50F3" w:rsidP="004353F2"/>
        </w:tc>
        <w:tc>
          <w:tcPr>
            <w:tcW w:w="4200" w:type="dxa"/>
          </w:tcPr>
          <w:p w:rsidR="00BE50F3" w:rsidRPr="001763AE" w:rsidRDefault="00BE50F3" w:rsidP="004353F2">
            <w:r w:rsidRPr="001763AE">
              <w:t>Herb harvesting: approx</w:t>
            </w:r>
            <w:r w:rsidR="00427F20" w:rsidRPr="001763AE">
              <w:t xml:space="preserve">. </w:t>
            </w:r>
            <w:r w:rsidRPr="001763AE">
              <w:t>850 tonnes per year</w:t>
            </w:r>
            <w:r w:rsidR="00427F20" w:rsidRPr="001763AE">
              <w:t xml:space="preserve">. </w:t>
            </w:r>
            <w:r w:rsidRPr="001763AE">
              <w:t>Partnership with herbal products company</w:t>
            </w:r>
            <w:r w:rsidR="00427F20" w:rsidRPr="001763AE">
              <w:t xml:space="preserve">. </w:t>
            </w:r>
          </w:p>
        </w:tc>
        <w:tc>
          <w:tcPr>
            <w:tcW w:w="2376" w:type="dxa"/>
          </w:tcPr>
          <w:p w:rsidR="00BE50F3" w:rsidRPr="001763AE" w:rsidRDefault="00BE50F3" w:rsidP="003C301F">
            <w:r w:rsidRPr="001763AE">
              <w:t>Potential income</w:t>
            </w:r>
            <w:r w:rsidR="006E16CE" w:rsidRPr="001763AE">
              <w:t xml:space="preserve"> </w:t>
            </w:r>
            <w:r w:rsidR="003C301F" w:rsidRPr="001763AE">
              <w:t xml:space="preserve">USD </w:t>
            </w:r>
            <w:r w:rsidRPr="001763AE">
              <w:t>0</w:t>
            </w:r>
            <w:r w:rsidR="003C301F" w:rsidRPr="001763AE">
              <w:t>.75</w:t>
            </w:r>
            <w:r w:rsidRPr="001763AE">
              <w:t>- 1</w:t>
            </w:r>
            <w:r w:rsidR="003C301F" w:rsidRPr="001763AE">
              <w:t>.25</w:t>
            </w:r>
            <w:r w:rsidRPr="001763AE">
              <w:t xml:space="preserve"> per kilo</w:t>
            </w:r>
            <w:r w:rsidR="00603BC6">
              <w:t>.</w:t>
            </w:r>
          </w:p>
        </w:tc>
      </w:tr>
      <w:tr w:rsidR="000F5495" w:rsidRPr="001763AE" w:rsidTr="005D4926">
        <w:tc>
          <w:tcPr>
            <w:tcW w:w="3279" w:type="dxa"/>
          </w:tcPr>
          <w:p w:rsidR="000F5495" w:rsidRPr="001763AE" w:rsidRDefault="000F5495" w:rsidP="004353F2">
            <w:r w:rsidRPr="001763AE">
              <w:t>Maramures Nature Park</w:t>
            </w:r>
            <w:r w:rsidR="00603BC6">
              <w:t>.</w:t>
            </w:r>
          </w:p>
        </w:tc>
        <w:tc>
          <w:tcPr>
            <w:tcW w:w="4200" w:type="dxa"/>
          </w:tcPr>
          <w:p w:rsidR="000F5495" w:rsidRPr="001763AE" w:rsidRDefault="000F5495" w:rsidP="004353F2">
            <w:r w:rsidRPr="001763AE">
              <w:t>Revenue sharing by tourist steam train enterprise in the Park</w:t>
            </w:r>
            <w:r w:rsidR="00603BC6">
              <w:t>.</w:t>
            </w:r>
          </w:p>
        </w:tc>
        <w:tc>
          <w:tcPr>
            <w:tcW w:w="2376" w:type="dxa"/>
          </w:tcPr>
          <w:p w:rsidR="000F5495" w:rsidRPr="001763AE" w:rsidRDefault="009B3D8A" w:rsidP="004353F2">
            <w:r w:rsidRPr="001763AE">
              <w:t>$</w:t>
            </w:r>
            <w:r w:rsidR="009275AB" w:rsidRPr="001763AE">
              <w:t>22</w:t>
            </w:r>
            <w:r w:rsidRPr="001763AE">
              <w:t>,000</w:t>
            </w:r>
          </w:p>
        </w:tc>
      </w:tr>
      <w:tr w:rsidR="000F5495" w:rsidRPr="001763AE" w:rsidTr="005D4926">
        <w:tc>
          <w:tcPr>
            <w:tcW w:w="3279" w:type="dxa"/>
          </w:tcPr>
          <w:p w:rsidR="000F5495" w:rsidRPr="001763AE" w:rsidRDefault="000F5495" w:rsidP="004353F2">
            <w:r w:rsidRPr="001763AE">
              <w:t>Piatra Craiulu National Park</w:t>
            </w:r>
            <w:r w:rsidR="00603BC6">
              <w:t>.</w:t>
            </w:r>
          </w:p>
        </w:tc>
        <w:tc>
          <w:tcPr>
            <w:tcW w:w="4200" w:type="dxa"/>
          </w:tcPr>
          <w:p w:rsidR="000F5495" w:rsidRPr="001763AE" w:rsidRDefault="000F5495" w:rsidP="004353F2">
            <w:r w:rsidRPr="001763AE">
              <w:t>Entrance fees</w:t>
            </w:r>
            <w:r w:rsidR="009275AB" w:rsidRPr="001763AE">
              <w:t xml:space="preserve"> (1 month only)</w:t>
            </w:r>
            <w:r w:rsidR="00603BC6">
              <w:t>.</w:t>
            </w:r>
          </w:p>
          <w:p w:rsidR="008C586F" w:rsidRPr="001763AE" w:rsidRDefault="008C586F" w:rsidP="004353F2">
            <w:r w:rsidRPr="001763AE">
              <w:t>Sales</w:t>
            </w:r>
            <w:r w:rsidR="00603BC6">
              <w:t>.</w:t>
            </w:r>
          </w:p>
        </w:tc>
        <w:tc>
          <w:tcPr>
            <w:tcW w:w="2376" w:type="dxa"/>
          </w:tcPr>
          <w:p w:rsidR="000F5495" w:rsidRPr="001763AE" w:rsidRDefault="006A762E" w:rsidP="004353F2">
            <w:r w:rsidRPr="001763AE">
              <w:t>$</w:t>
            </w:r>
            <w:r w:rsidR="009B3D8A" w:rsidRPr="001763AE">
              <w:t>1</w:t>
            </w:r>
            <w:r w:rsidRPr="001763AE">
              <w:t>,</w:t>
            </w:r>
            <w:r w:rsidR="009B3D8A" w:rsidRPr="001763AE">
              <w:t>000</w:t>
            </w:r>
          </w:p>
          <w:p w:rsidR="008C586F" w:rsidRPr="001763AE" w:rsidRDefault="006A762E" w:rsidP="004353F2">
            <w:r w:rsidRPr="001763AE">
              <w:t>$</w:t>
            </w:r>
            <w:r w:rsidR="009B3D8A" w:rsidRPr="001763AE">
              <w:t>3</w:t>
            </w:r>
            <w:r w:rsidRPr="001763AE">
              <w:t>,</w:t>
            </w:r>
            <w:r w:rsidR="009B3D8A" w:rsidRPr="001763AE">
              <w:t>600</w:t>
            </w:r>
          </w:p>
        </w:tc>
      </w:tr>
      <w:tr w:rsidR="00BE50F3" w:rsidRPr="001763AE" w:rsidTr="005D4926">
        <w:tc>
          <w:tcPr>
            <w:tcW w:w="3279" w:type="dxa"/>
          </w:tcPr>
          <w:p w:rsidR="00BE50F3" w:rsidRPr="001763AE" w:rsidRDefault="00BE50F3" w:rsidP="004353F2">
            <w:r w:rsidRPr="001763AE">
              <w:t>Bicaz Gorges Hasmas Mountain National</w:t>
            </w:r>
            <w:r w:rsidR="006E16CE" w:rsidRPr="001763AE">
              <w:t xml:space="preserve"> </w:t>
            </w:r>
            <w:r w:rsidRPr="001763AE">
              <w:t>Park</w:t>
            </w:r>
            <w:r w:rsidR="00603BC6">
              <w:t>.</w:t>
            </w:r>
          </w:p>
        </w:tc>
        <w:tc>
          <w:tcPr>
            <w:tcW w:w="4200" w:type="dxa"/>
          </w:tcPr>
          <w:p w:rsidR="00BE50F3" w:rsidRPr="001763AE" w:rsidRDefault="00BE50F3" w:rsidP="004353F2">
            <w:r w:rsidRPr="001763AE">
              <w:t>Entrance fees</w:t>
            </w:r>
            <w:r w:rsidR="00603BC6">
              <w:t>.</w:t>
            </w:r>
          </w:p>
          <w:p w:rsidR="00BE50F3" w:rsidRPr="001763AE" w:rsidRDefault="00BE50F3" w:rsidP="004353F2">
            <w:r w:rsidRPr="001763AE">
              <w:t>Endorsement and use of logo by mineral water procedure</w:t>
            </w:r>
            <w:r w:rsidR="00603BC6">
              <w:t>.</w:t>
            </w:r>
          </w:p>
          <w:p w:rsidR="00BE50F3" w:rsidRPr="001763AE" w:rsidRDefault="00BE50F3" w:rsidP="004353F2">
            <w:r w:rsidRPr="001763AE">
              <w:t>Sponsorship of environmental education event by cement company</w:t>
            </w:r>
            <w:r w:rsidR="00603BC6">
              <w:t>.</w:t>
            </w:r>
          </w:p>
          <w:p w:rsidR="00BE50F3" w:rsidRPr="001763AE" w:rsidRDefault="00BE50F3" w:rsidP="00603BC6">
            <w:r w:rsidRPr="001763AE">
              <w:t>Sponsorship of fuel for anti</w:t>
            </w:r>
            <w:r w:rsidR="000E13B3" w:rsidRPr="001763AE">
              <w:t>-</w:t>
            </w:r>
            <w:r w:rsidRPr="001763AE">
              <w:t xml:space="preserve"> poaching activities by hunting association</w:t>
            </w:r>
            <w:r w:rsidR="00603BC6">
              <w:t>.</w:t>
            </w:r>
          </w:p>
        </w:tc>
        <w:tc>
          <w:tcPr>
            <w:tcW w:w="2376" w:type="dxa"/>
          </w:tcPr>
          <w:p w:rsidR="00BE50F3" w:rsidRPr="001763AE" w:rsidRDefault="006A762E" w:rsidP="004353F2">
            <w:r w:rsidRPr="001763AE">
              <w:t>$1,900</w:t>
            </w:r>
          </w:p>
        </w:tc>
      </w:tr>
      <w:tr w:rsidR="00257D2E" w:rsidRPr="001763AE" w:rsidTr="005D4926">
        <w:tc>
          <w:tcPr>
            <w:tcW w:w="3279" w:type="dxa"/>
          </w:tcPr>
          <w:p w:rsidR="00257D2E" w:rsidRPr="001763AE" w:rsidRDefault="00257D2E" w:rsidP="004353F2">
            <w:r w:rsidRPr="001763AE">
              <w:t>Bucegi Natural Park</w:t>
            </w:r>
            <w:r w:rsidR="00603BC6">
              <w:t>.</w:t>
            </w:r>
          </w:p>
        </w:tc>
        <w:tc>
          <w:tcPr>
            <w:tcW w:w="4200" w:type="dxa"/>
          </w:tcPr>
          <w:p w:rsidR="00257D2E" w:rsidRPr="001763AE" w:rsidRDefault="00257D2E" w:rsidP="004353F2">
            <w:r w:rsidRPr="001763AE">
              <w:t>Entrance fees</w:t>
            </w:r>
            <w:r w:rsidR="00603BC6">
              <w:t>.</w:t>
            </w:r>
          </w:p>
        </w:tc>
        <w:tc>
          <w:tcPr>
            <w:tcW w:w="2376" w:type="dxa"/>
          </w:tcPr>
          <w:p w:rsidR="00257D2E" w:rsidRPr="001763AE" w:rsidRDefault="00257D2E" w:rsidP="004353F2">
            <w:r w:rsidRPr="001763AE">
              <w:t>To be implemented in 2014</w:t>
            </w:r>
          </w:p>
        </w:tc>
      </w:tr>
      <w:tr w:rsidR="006A762E" w:rsidRPr="001763AE" w:rsidTr="005D4926">
        <w:tc>
          <w:tcPr>
            <w:tcW w:w="3279" w:type="dxa"/>
          </w:tcPr>
          <w:p w:rsidR="006A762E" w:rsidRPr="001763AE" w:rsidRDefault="006A762E" w:rsidP="004353F2">
            <w:r w:rsidRPr="001763AE">
              <w:t>Iron Gates Natural Park</w:t>
            </w:r>
            <w:r w:rsidR="00603BC6">
              <w:t>.</w:t>
            </w:r>
          </w:p>
        </w:tc>
        <w:tc>
          <w:tcPr>
            <w:tcW w:w="4200" w:type="dxa"/>
          </w:tcPr>
          <w:p w:rsidR="006A762E" w:rsidRPr="001763AE" w:rsidRDefault="006A762E" w:rsidP="004353F2">
            <w:r w:rsidRPr="001763AE">
              <w:t>Guided cave tours</w:t>
            </w:r>
            <w:r w:rsidR="00603BC6">
              <w:t>.</w:t>
            </w:r>
          </w:p>
        </w:tc>
        <w:tc>
          <w:tcPr>
            <w:tcW w:w="2376" w:type="dxa"/>
          </w:tcPr>
          <w:p w:rsidR="006A762E" w:rsidRPr="001763AE" w:rsidRDefault="006A762E" w:rsidP="004353F2">
            <w:r w:rsidRPr="001763AE">
              <w:t>$39,000</w:t>
            </w:r>
          </w:p>
        </w:tc>
      </w:tr>
    </w:tbl>
    <w:p w:rsidR="00975DC3" w:rsidRPr="001763AE" w:rsidRDefault="00055B3D" w:rsidP="00954B9E">
      <w:pPr>
        <w:pStyle w:val="Heading6"/>
      </w:pPr>
      <w:r w:rsidRPr="001763AE">
        <w:t xml:space="preserve">Indicator: </w:t>
      </w:r>
      <w:r w:rsidR="00954B9E" w:rsidRPr="001763AE">
        <w:t>Number of cost-saving strategies in place at PA system level</w:t>
      </w:r>
    </w:p>
    <w:p w:rsidR="00427F20" w:rsidRPr="001763AE" w:rsidRDefault="007A775E" w:rsidP="00954B9E">
      <w:r w:rsidRPr="001763AE">
        <w:t>While protected area directors</w:t>
      </w:r>
      <w:r w:rsidR="006E16CE" w:rsidRPr="001763AE">
        <w:t xml:space="preserve"> </w:t>
      </w:r>
      <w:r w:rsidRPr="001763AE">
        <w:t>have started to monitor costs and look for economies at the site level, such approaches (as recommended in the Sustainable Financing Strategy) have not yet been systematically adopted at the system level</w:t>
      </w:r>
      <w:r w:rsidR="00427F20" w:rsidRPr="001763AE">
        <w:t xml:space="preserve">. </w:t>
      </w:r>
      <w:r w:rsidRPr="001763AE">
        <w:t xml:space="preserve">Clearly it is </w:t>
      </w:r>
      <w:r w:rsidR="00FC3F03" w:rsidRPr="001763AE">
        <w:t>i</w:t>
      </w:r>
      <w:r w:rsidRPr="001763AE">
        <w:t xml:space="preserve">n the interest of the </w:t>
      </w:r>
      <w:r w:rsidR="00DE0423" w:rsidRPr="001763AE">
        <w:t>NFA</w:t>
      </w:r>
      <w:r w:rsidRPr="001763AE">
        <w:t xml:space="preserve"> (</w:t>
      </w:r>
      <w:r w:rsidR="00DE0423" w:rsidRPr="001763AE">
        <w:t>which is in effect subsidising management</w:t>
      </w:r>
      <w:r w:rsidR="006E16CE" w:rsidRPr="001763AE">
        <w:t xml:space="preserve"> </w:t>
      </w:r>
      <w:r w:rsidR="00DE0423" w:rsidRPr="001763AE">
        <w:t>of protected areas</w:t>
      </w:r>
      <w:r w:rsidRPr="001763AE">
        <w:t xml:space="preserve">) to </w:t>
      </w:r>
      <w:r w:rsidR="00DE0423" w:rsidRPr="001763AE">
        <w:t>avoid unnecessary expenditure</w:t>
      </w:r>
      <w:r w:rsidRPr="001763AE">
        <w:t xml:space="preserve">, but since the protected areas are severely underfunded , </w:t>
      </w:r>
      <w:r w:rsidR="00DE0423" w:rsidRPr="001763AE">
        <w:t xml:space="preserve">cost saving </w:t>
      </w:r>
      <w:r w:rsidRPr="001763AE">
        <w:t>though budget cuts is not desirable</w:t>
      </w:r>
      <w:r w:rsidR="00FC3F03" w:rsidRPr="001763AE">
        <w:t xml:space="preserve"> from the perspective of the protected areas</w:t>
      </w:r>
      <w:r w:rsidR="00427F20" w:rsidRPr="001763AE">
        <w:t xml:space="preserve">. </w:t>
      </w:r>
      <w:r w:rsidRPr="001763AE">
        <w:t xml:space="preserve">Therefore the main means for cost saving should be </w:t>
      </w:r>
      <w:r w:rsidR="00DE0423" w:rsidRPr="001763AE">
        <w:t>improving efficiency</w:t>
      </w:r>
      <w:r w:rsidR="006E16CE" w:rsidRPr="001763AE">
        <w:t xml:space="preserve"> </w:t>
      </w:r>
      <w:r w:rsidR="00DE0423" w:rsidRPr="001763AE">
        <w:t>of the use of the limi</w:t>
      </w:r>
      <w:r w:rsidRPr="001763AE">
        <w:t>ted funds that are available</w:t>
      </w:r>
      <w:r w:rsidR="00FC3F03" w:rsidRPr="001763AE">
        <w:t>, and the strategy does make some suggestions for this</w:t>
      </w:r>
      <w:r w:rsidR="00427F20" w:rsidRPr="001763AE">
        <w:t xml:space="preserve">. </w:t>
      </w:r>
      <w:r w:rsidRPr="001763AE">
        <w:t>T</w:t>
      </w:r>
      <w:r w:rsidR="00BA3CC3" w:rsidRPr="001763AE">
        <w:t>he establishment of the online financial management system and the ability of the protected areas unit</w:t>
      </w:r>
      <w:r w:rsidR="00FC3F03" w:rsidRPr="001763AE">
        <w:t>s</w:t>
      </w:r>
      <w:r w:rsidR="00BA3CC3" w:rsidRPr="001763AE">
        <w:t xml:space="preserve"> in the NFA </w:t>
      </w:r>
      <w:r w:rsidRPr="001763AE">
        <w:t xml:space="preserve">centrally </w:t>
      </w:r>
      <w:r w:rsidR="00BA3CC3" w:rsidRPr="001763AE">
        <w:t>to access financial information from protected areas is enabling it to</w:t>
      </w:r>
      <w:r w:rsidR="006E16CE" w:rsidRPr="001763AE">
        <w:t xml:space="preserve"> </w:t>
      </w:r>
      <w:r w:rsidR="00BA3CC3" w:rsidRPr="001763AE">
        <w:t>analyse activity and expenditure</w:t>
      </w:r>
      <w:r w:rsidR="00055B3D" w:rsidRPr="001763AE">
        <w:t>, to exercise cost control and</w:t>
      </w:r>
      <w:r w:rsidR="0025256D">
        <w:t xml:space="preserve"> </w:t>
      </w:r>
      <w:r w:rsidR="00BA3CC3" w:rsidRPr="001763AE">
        <w:t>guide</w:t>
      </w:r>
      <w:r w:rsidR="006E16CE" w:rsidRPr="001763AE">
        <w:t xml:space="preserve"> </w:t>
      </w:r>
      <w:r w:rsidR="00BA3CC3" w:rsidRPr="001763AE">
        <w:t>protected area directors and accountants</w:t>
      </w:r>
      <w:r w:rsidR="006E16CE" w:rsidRPr="001763AE">
        <w:t xml:space="preserve"> </w:t>
      </w:r>
      <w:r w:rsidR="00BA3CC3" w:rsidRPr="001763AE">
        <w:t>towards</w:t>
      </w:r>
      <w:r w:rsidR="006E16CE" w:rsidRPr="001763AE">
        <w:t xml:space="preserve"> </w:t>
      </w:r>
      <w:r w:rsidR="00BA3CC3" w:rsidRPr="001763AE">
        <w:t>more</w:t>
      </w:r>
      <w:r w:rsidR="006E16CE" w:rsidRPr="001763AE">
        <w:t xml:space="preserve"> </w:t>
      </w:r>
      <w:r w:rsidR="00BA3CC3" w:rsidRPr="001763AE">
        <w:t>efficient use</w:t>
      </w:r>
      <w:r w:rsidR="006E16CE" w:rsidRPr="001763AE">
        <w:t xml:space="preserve"> </w:t>
      </w:r>
      <w:r w:rsidR="00BA3CC3" w:rsidRPr="001763AE">
        <w:t xml:space="preserve">of staff time and resources </w:t>
      </w:r>
    </w:p>
    <w:p w:rsidR="00265B8D" w:rsidRPr="001763AE" w:rsidRDefault="00F56B3E" w:rsidP="00265B8D">
      <w:pPr>
        <w:pStyle w:val="Heading6"/>
      </w:pPr>
      <w:r w:rsidRPr="001763AE">
        <w:t>Evaluation</w:t>
      </w:r>
    </w:p>
    <w:p w:rsidR="00427F20" w:rsidRPr="001763AE" w:rsidRDefault="00086A35" w:rsidP="00DB28F8">
      <w:pPr>
        <w:pStyle w:val="NumberedPara"/>
        <w:numPr>
          <w:ilvl w:val="0"/>
          <w:numId w:val="0"/>
        </w:numPr>
        <w:rPr>
          <w:b/>
          <w:i/>
        </w:rPr>
      </w:pPr>
      <w:r w:rsidRPr="001763AE">
        <w:t xml:space="preserve">There has been significant success in some protected areas in </w:t>
      </w:r>
      <w:r w:rsidR="00FC3F03" w:rsidRPr="001763AE">
        <w:t xml:space="preserve">securing new </w:t>
      </w:r>
      <w:r w:rsidRPr="001763AE">
        <w:t xml:space="preserve">local </w:t>
      </w:r>
      <w:r w:rsidR="00FC3F03" w:rsidRPr="001763AE">
        <w:t>sources of income</w:t>
      </w:r>
      <w:r w:rsidRPr="001763AE">
        <w:t>, although the mechanisms for allocation and use of this income are underdeveloped. Overall, this o</w:t>
      </w:r>
      <w:r w:rsidR="00265B8D" w:rsidRPr="001763AE">
        <w:t xml:space="preserve">utput is evaluated </w:t>
      </w:r>
      <w:r w:rsidR="009C5E4B">
        <w:t xml:space="preserve">having only minor shortcomings and is therefore </w:t>
      </w:r>
      <w:r w:rsidR="000B76C1" w:rsidRPr="00385D8D">
        <w:rPr>
          <w:b/>
        </w:rPr>
        <w:t>S</w:t>
      </w:r>
      <w:r w:rsidR="00265B8D" w:rsidRPr="00385D8D">
        <w:rPr>
          <w:b/>
        </w:rPr>
        <w:t>atisfactory</w:t>
      </w:r>
      <w:r w:rsidR="00385D8D">
        <w:rPr>
          <w:b/>
        </w:rPr>
        <w:t xml:space="preserve"> (S).</w:t>
      </w:r>
    </w:p>
    <w:p w:rsidR="00887831" w:rsidRPr="001763AE" w:rsidRDefault="00887831" w:rsidP="00887831">
      <w:pPr>
        <w:pStyle w:val="Heading5"/>
      </w:pPr>
      <w:r w:rsidRPr="001763AE">
        <w:t>Overall approach</w:t>
      </w:r>
      <w:r w:rsidR="00E314B1" w:rsidRPr="001763AE">
        <w:t xml:space="preserve"> adopted for </w:t>
      </w:r>
      <w:r w:rsidR="00695B22" w:rsidRPr="001763AE">
        <w:t>O</w:t>
      </w:r>
      <w:r w:rsidR="00E314B1" w:rsidRPr="001763AE">
        <w:t>utcome 1</w:t>
      </w:r>
    </w:p>
    <w:p w:rsidR="0025256D" w:rsidRDefault="002848F6" w:rsidP="00DB28F8">
      <w:pPr>
        <w:pStyle w:val="NumberedPara"/>
        <w:numPr>
          <w:ilvl w:val="0"/>
          <w:numId w:val="0"/>
        </w:numPr>
      </w:pPr>
      <w:r w:rsidRPr="001763AE">
        <w:t xml:space="preserve"> Although the</w:t>
      </w:r>
      <w:r w:rsidR="00CF139B" w:rsidRPr="001763AE">
        <w:t xml:space="preserve"> approach taken by the project </w:t>
      </w:r>
      <w:r w:rsidR="00FC3F03" w:rsidRPr="001763AE">
        <w:t xml:space="preserve">has </w:t>
      </w:r>
      <w:r w:rsidRPr="001763AE">
        <w:t>followed an established methodology</w:t>
      </w:r>
      <w:r w:rsidR="00662B14" w:rsidRPr="001763AE">
        <w:t xml:space="preserve">, </w:t>
      </w:r>
      <w:r w:rsidRPr="001763AE">
        <w:t>several res</w:t>
      </w:r>
      <w:r w:rsidR="00662B14" w:rsidRPr="001763AE">
        <w:t xml:space="preserve">pondents </w:t>
      </w:r>
      <w:r w:rsidR="00FC3F03" w:rsidRPr="001763AE">
        <w:t xml:space="preserve">have </w:t>
      </w:r>
      <w:r w:rsidRPr="001763AE">
        <w:t xml:space="preserve">suggested that </w:t>
      </w:r>
      <w:r w:rsidR="00662B14" w:rsidRPr="001763AE">
        <w:t>it</w:t>
      </w:r>
      <w:r w:rsidRPr="001763AE">
        <w:t xml:space="preserve"> was rather </w:t>
      </w:r>
      <w:r w:rsidR="00662B14" w:rsidRPr="001763AE">
        <w:t xml:space="preserve">narrow, </w:t>
      </w:r>
      <w:r w:rsidR="00817985" w:rsidRPr="001763AE">
        <w:t xml:space="preserve">formulaic and </w:t>
      </w:r>
      <w:r w:rsidR="00662B14" w:rsidRPr="001763AE">
        <w:t>in</w:t>
      </w:r>
      <w:r w:rsidR="001D06D5" w:rsidRPr="001763AE">
        <w:t xml:space="preserve">sufficiently flexible or </w:t>
      </w:r>
      <w:r w:rsidRPr="001763AE">
        <w:t>contextuali</w:t>
      </w:r>
      <w:r w:rsidR="001D06D5" w:rsidRPr="001763AE">
        <w:t>sed to the situation in Romania</w:t>
      </w:r>
      <w:r w:rsidR="00427F20" w:rsidRPr="001763AE">
        <w:t>.</w:t>
      </w:r>
      <w:r w:rsidR="0079649E" w:rsidRPr="001763AE">
        <w:t xml:space="preserve"> </w:t>
      </w:r>
      <w:r w:rsidR="002025F5" w:rsidRPr="001763AE">
        <w:t xml:space="preserve">There </w:t>
      </w:r>
      <w:r w:rsidR="00484AB2" w:rsidRPr="001763AE">
        <w:t xml:space="preserve">is </w:t>
      </w:r>
      <w:r w:rsidR="0079649E" w:rsidRPr="001763AE">
        <w:t>resistance</w:t>
      </w:r>
      <w:r w:rsidR="00356B4B" w:rsidRPr="001763AE">
        <w:t xml:space="preserve"> among some NGOs</w:t>
      </w:r>
      <w:r w:rsidR="0079649E" w:rsidRPr="001763AE">
        <w:t xml:space="preserve"> to what is seen as the</w:t>
      </w:r>
      <w:r w:rsidR="0025122F" w:rsidRPr="001763AE">
        <w:t xml:space="preserve"> commer</w:t>
      </w:r>
      <w:r w:rsidR="00662B14" w:rsidRPr="001763AE">
        <w:t>cialisation of protected areas</w:t>
      </w:r>
      <w:r w:rsidR="00356B4B" w:rsidRPr="001763AE">
        <w:t xml:space="preserve">, and objections to the </w:t>
      </w:r>
      <w:r w:rsidR="00E11207" w:rsidRPr="001763AE">
        <w:t xml:space="preserve">proposed </w:t>
      </w:r>
      <w:r w:rsidR="00484AB2" w:rsidRPr="001763AE">
        <w:t xml:space="preserve">(quite low) entry fees </w:t>
      </w:r>
      <w:r w:rsidR="00356B4B" w:rsidRPr="001763AE">
        <w:t>being introduced by NFA</w:t>
      </w:r>
      <w:r w:rsidR="009C5E4B">
        <w:t xml:space="preserve"> (</w:t>
      </w:r>
      <w:r w:rsidR="00010476" w:rsidRPr="001763AE">
        <w:t xml:space="preserve">although there </w:t>
      </w:r>
      <w:r w:rsidR="0079649E" w:rsidRPr="001763AE">
        <w:t>is</w:t>
      </w:r>
      <w:r w:rsidR="00010476" w:rsidRPr="001763AE">
        <w:t xml:space="preserve"> much less resistance to</w:t>
      </w:r>
      <w:r w:rsidR="0079649E" w:rsidRPr="001763AE">
        <w:t xml:space="preserve"> charging for specific services</w:t>
      </w:r>
      <w:r w:rsidR="009C5E4B">
        <w:t>)</w:t>
      </w:r>
      <w:r w:rsidR="00427F20" w:rsidRPr="001763AE">
        <w:t xml:space="preserve">. </w:t>
      </w:r>
      <w:r w:rsidR="00010476" w:rsidRPr="001763AE">
        <w:t>T</w:t>
      </w:r>
      <w:r w:rsidR="009877E9" w:rsidRPr="001763AE">
        <w:t xml:space="preserve">hese concerns </w:t>
      </w:r>
      <w:r w:rsidR="00662B14" w:rsidRPr="001763AE">
        <w:t xml:space="preserve">are </w:t>
      </w:r>
      <w:r w:rsidR="009877E9" w:rsidRPr="001763AE">
        <w:t>amplified by</w:t>
      </w:r>
      <w:r w:rsidR="00B533FC" w:rsidRPr="001763AE">
        <w:t xml:space="preserve"> </w:t>
      </w:r>
      <w:r w:rsidR="00356B4B" w:rsidRPr="001763AE">
        <w:t>the</w:t>
      </w:r>
      <w:r w:rsidR="0079649E" w:rsidRPr="001763AE">
        <w:t xml:space="preserve"> </w:t>
      </w:r>
      <w:r w:rsidR="000B76C1" w:rsidRPr="001763AE">
        <w:t xml:space="preserve">continuing </w:t>
      </w:r>
      <w:r w:rsidR="00662B14" w:rsidRPr="001763AE">
        <w:t xml:space="preserve">view </w:t>
      </w:r>
      <w:r w:rsidR="00356B4B" w:rsidRPr="001763AE">
        <w:t xml:space="preserve">in some quarters </w:t>
      </w:r>
      <w:r w:rsidR="00662B14" w:rsidRPr="001763AE">
        <w:t xml:space="preserve">that </w:t>
      </w:r>
      <w:r w:rsidR="00356B4B" w:rsidRPr="001763AE">
        <w:t xml:space="preserve">the </w:t>
      </w:r>
      <w:r w:rsidR="009778F2" w:rsidRPr="001763AE">
        <w:t>NFA</w:t>
      </w:r>
      <w:r w:rsidR="00662B14" w:rsidRPr="001763AE">
        <w:t xml:space="preserve"> is</w:t>
      </w:r>
      <w:r w:rsidR="00B533FC" w:rsidRPr="001763AE">
        <w:t xml:space="preserve"> </w:t>
      </w:r>
      <w:r w:rsidR="009877E9" w:rsidRPr="001763AE">
        <w:t>more</w:t>
      </w:r>
      <w:r w:rsidR="009778F2" w:rsidRPr="001763AE">
        <w:t xml:space="preserve"> </w:t>
      </w:r>
      <w:r w:rsidR="00B533FC" w:rsidRPr="001763AE">
        <w:t>focused on profit</w:t>
      </w:r>
      <w:r w:rsidR="009877E9" w:rsidRPr="001763AE">
        <w:t>able forestry</w:t>
      </w:r>
      <w:r w:rsidR="00356B4B" w:rsidRPr="001763AE">
        <w:t xml:space="preserve"> than protected areas. However, the NFA has done much in recent years to change this perception through increasing professionalization </w:t>
      </w:r>
      <w:r w:rsidR="00F87CE7" w:rsidRPr="001763AE">
        <w:t>of its protected area management</w:t>
      </w:r>
      <w:r w:rsidR="00356B4B" w:rsidRPr="001763AE">
        <w:t xml:space="preserve">, and these changes are </w:t>
      </w:r>
      <w:r w:rsidR="00484AB2" w:rsidRPr="001763AE">
        <w:t xml:space="preserve">now </w:t>
      </w:r>
      <w:r w:rsidR="00356B4B" w:rsidRPr="001763AE">
        <w:t>being recognised by many former critics.</w:t>
      </w:r>
    </w:p>
    <w:p w:rsidR="0025256D" w:rsidRDefault="00010476" w:rsidP="00DB28F8">
      <w:pPr>
        <w:pStyle w:val="NumberedPara"/>
        <w:numPr>
          <w:ilvl w:val="0"/>
          <w:numId w:val="0"/>
        </w:numPr>
      </w:pPr>
      <w:r w:rsidRPr="001763AE">
        <w:t>A</w:t>
      </w:r>
      <w:r w:rsidR="00064663" w:rsidRPr="001763AE">
        <w:t>lthough it i</w:t>
      </w:r>
      <w:r w:rsidR="009877E9" w:rsidRPr="001763AE">
        <w:t>s inevitable that there will be</w:t>
      </w:r>
      <w:r w:rsidR="00064663" w:rsidRPr="001763AE">
        <w:t xml:space="preserve"> resistance </w:t>
      </w:r>
      <w:r w:rsidR="008443A7" w:rsidRPr="001763AE">
        <w:t xml:space="preserve">to new </w:t>
      </w:r>
      <w:r w:rsidR="00D22715" w:rsidRPr="001763AE">
        <w:t xml:space="preserve">ideas and </w:t>
      </w:r>
      <w:r w:rsidR="008443A7" w:rsidRPr="001763AE">
        <w:t>chan</w:t>
      </w:r>
      <w:r w:rsidR="00126EDA" w:rsidRPr="001763AE">
        <w:t>ges</w:t>
      </w:r>
      <w:r w:rsidR="009877E9" w:rsidRPr="001763AE">
        <w:t xml:space="preserve">, </w:t>
      </w:r>
      <w:r w:rsidR="00064663" w:rsidRPr="001763AE">
        <w:t>there is a more fundamental underlying issue</w:t>
      </w:r>
      <w:r w:rsidR="00427F20" w:rsidRPr="001763AE">
        <w:t xml:space="preserve">. </w:t>
      </w:r>
      <w:r w:rsidR="00126EDA" w:rsidRPr="001763AE">
        <w:t>Carpathian protected areas</w:t>
      </w:r>
      <w:r w:rsidR="00064663" w:rsidRPr="001763AE">
        <w:t xml:space="preserve"> are not isolated </w:t>
      </w:r>
      <w:r w:rsidR="00126EDA" w:rsidRPr="001763AE">
        <w:t xml:space="preserve">and unpopulated ‘venues’ </w:t>
      </w:r>
      <w:r w:rsidR="009877E9" w:rsidRPr="001763AE">
        <w:t xml:space="preserve">for visitation </w:t>
      </w:r>
      <w:r w:rsidR="00126EDA" w:rsidRPr="001763AE">
        <w:t>i</w:t>
      </w:r>
      <w:r w:rsidR="009877E9" w:rsidRPr="001763AE">
        <w:t>n the way that most major parks</w:t>
      </w:r>
      <w:r w:rsidR="00126EDA" w:rsidRPr="001763AE">
        <w:t xml:space="preserve"> </w:t>
      </w:r>
      <w:r w:rsidR="009877E9" w:rsidRPr="001763AE">
        <w:t>are in</w:t>
      </w:r>
      <w:r w:rsidR="00126EDA" w:rsidRPr="001763AE">
        <w:t xml:space="preserve"> the USA</w:t>
      </w:r>
      <w:r w:rsidR="00427F20" w:rsidRPr="001763AE">
        <w:t xml:space="preserve">. </w:t>
      </w:r>
      <w:r w:rsidR="00126EDA" w:rsidRPr="001763AE">
        <w:t>They are integral parts of a cultural landscape in which natural and human values are combined</w:t>
      </w:r>
      <w:r w:rsidR="00D22715" w:rsidRPr="001763AE">
        <w:t>,</w:t>
      </w:r>
      <w:r w:rsidR="00126EDA" w:rsidRPr="001763AE">
        <w:t xml:space="preserve"> </w:t>
      </w:r>
      <w:r w:rsidR="009778F2" w:rsidRPr="001763AE">
        <w:t>and</w:t>
      </w:r>
      <w:r w:rsidR="009877E9" w:rsidRPr="001763AE">
        <w:t xml:space="preserve"> </w:t>
      </w:r>
      <w:r w:rsidR="00D22715" w:rsidRPr="001763AE">
        <w:t xml:space="preserve">are </w:t>
      </w:r>
      <w:r w:rsidR="009877E9" w:rsidRPr="001763AE">
        <w:t xml:space="preserve">in many ways </w:t>
      </w:r>
      <w:r w:rsidR="009778F2" w:rsidRPr="001763AE">
        <w:t>inseparable</w:t>
      </w:r>
      <w:r w:rsidR="00D22715" w:rsidRPr="001763AE">
        <w:t xml:space="preserve">; </w:t>
      </w:r>
      <w:r w:rsidR="0079649E" w:rsidRPr="001763AE">
        <w:t xml:space="preserve">consequently </w:t>
      </w:r>
      <w:r w:rsidR="009778F2" w:rsidRPr="001763AE">
        <w:t xml:space="preserve">there is cultural </w:t>
      </w:r>
      <w:r w:rsidR="009877E9" w:rsidRPr="001763AE">
        <w:t xml:space="preserve">resistance to </w:t>
      </w:r>
      <w:r w:rsidR="00D22715" w:rsidRPr="001763AE">
        <w:t xml:space="preserve">the concept of </w:t>
      </w:r>
      <w:r w:rsidR="009877E9" w:rsidRPr="001763AE">
        <w:t>paying for access to cherished landscapes</w:t>
      </w:r>
      <w:r w:rsidR="00427F20" w:rsidRPr="001763AE">
        <w:t xml:space="preserve">. </w:t>
      </w:r>
      <w:r w:rsidR="00FE06CC" w:rsidRPr="001763AE">
        <w:t>Many p</w:t>
      </w:r>
      <w:r w:rsidR="00D22715" w:rsidRPr="001763AE">
        <w:t xml:space="preserve">eople </w:t>
      </w:r>
      <w:r w:rsidR="0079649E" w:rsidRPr="001763AE">
        <w:t>may be</w:t>
      </w:r>
      <w:r w:rsidR="00D22715" w:rsidRPr="001763AE">
        <w:t xml:space="preserve"> un</w:t>
      </w:r>
      <w:r w:rsidR="009877E9" w:rsidRPr="001763AE">
        <w:t xml:space="preserve">comfortable with </w:t>
      </w:r>
      <w:r w:rsidR="00D22715" w:rsidRPr="001763AE">
        <w:t>a business-</w:t>
      </w:r>
      <w:r w:rsidR="00FE06CC" w:rsidRPr="001763AE">
        <w:t>based approach that considers them as</w:t>
      </w:r>
      <w:r w:rsidR="009877E9" w:rsidRPr="001763AE">
        <w:t xml:space="preserve"> ‘users’ buying </w:t>
      </w:r>
      <w:r w:rsidR="00484AB2" w:rsidRPr="001763AE">
        <w:t>‘ecosystem services’, or that targets</w:t>
      </w:r>
      <w:r w:rsidR="00FE06CC" w:rsidRPr="001763AE">
        <w:t xml:space="preserve"> ‘low hanging fruit’ for income generation</w:t>
      </w:r>
      <w:r w:rsidR="00427F20" w:rsidRPr="001763AE">
        <w:t xml:space="preserve">. </w:t>
      </w:r>
      <w:r w:rsidR="005845CE" w:rsidRPr="001763AE">
        <w:t xml:space="preserve">It is </w:t>
      </w:r>
      <w:r w:rsidR="004D4A05" w:rsidRPr="001763AE">
        <w:t xml:space="preserve">quite </w:t>
      </w:r>
      <w:r w:rsidR="005845CE" w:rsidRPr="001763AE">
        <w:t>possible that these perceptions will</w:t>
      </w:r>
      <w:r w:rsidR="00FE06CC" w:rsidRPr="001763AE">
        <w:t xml:space="preserve"> change over time</w:t>
      </w:r>
      <w:r w:rsidR="004D4A05" w:rsidRPr="001763AE">
        <w:t xml:space="preserve"> (a questionnaire conducted during the project indicated that </w:t>
      </w:r>
      <w:r w:rsidR="00603BC6">
        <w:t>there is a relatively high ‘</w:t>
      </w:r>
      <w:r w:rsidR="0013322D" w:rsidRPr="001763AE">
        <w:t>will</w:t>
      </w:r>
      <w:r w:rsidR="003F4DCD" w:rsidRPr="001763AE">
        <w:t>ingness to pay’ among tourists),</w:t>
      </w:r>
      <w:r w:rsidR="0025256D">
        <w:t xml:space="preserve"> </w:t>
      </w:r>
      <w:r w:rsidR="005845CE" w:rsidRPr="001763AE">
        <w:t xml:space="preserve">but </w:t>
      </w:r>
      <w:r w:rsidR="00FE06CC" w:rsidRPr="001763AE">
        <w:t xml:space="preserve">the </w:t>
      </w:r>
      <w:r w:rsidR="00F13992" w:rsidRPr="001763AE">
        <w:t>message from some</w:t>
      </w:r>
      <w:r w:rsidR="00FE06CC" w:rsidRPr="001763AE">
        <w:t xml:space="preserve"> civil society stakeholders is that the general public</w:t>
      </w:r>
      <w:r w:rsidR="005845CE" w:rsidRPr="001763AE">
        <w:t xml:space="preserve"> need</w:t>
      </w:r>
      <w:r w:rsidR="00FE06CC" w:rsidRPr="001763AE">
        <w:t>s</w:t>
      </w:r>
      <w:r w:rsidR="005845CE" w:rsidRPr="001763AE">
        <w:t xml:space="preserve"> to be better convinced that their </w:t>
      </w:r>
      <w:r w:rsidR="00484AB2" w:rsidRPr="001763AE">
        <w:t xml:space="preserve">financial </w:t>
      </w:r>
      <w:r w:rsidR="005845CE" w:rsidRPr="001763AE">
        <w:t xml:space="preserve">contributions are bringing real benefits </w:t>
      </w:r>
      <w:r w:rsidR="0079649E" w:rsidRPr="001763AE">
        <w:t xml:space="preserve">and making a positive impact </w:t>
      </w:r>
      <w:r w:rsidR="005845CE" w:rsidRPr="001763AE">
        <w:t>to management and protection</w:t>
      </w:r>
      <w:r w:rsidRPr="001763AE">
        <w:t xml:space="preserve"> of the Parks</w:t>
      </w:r>
      <w:r w:rsidR="00FE06CC" w:rsidRPr="001763AE">
        <w:t xml:space="preserve"> on behalf of all</w:t>
      </w:r>
      <w:r w:rsidR="0079649E" w:rsidRPr="001763AE">
        <w:t xml:space="preserve"> citizens</w:t>
      </w:r>
      <w:r w:rsidR="0013322D" w:rsidRPr="001763AE">
        <w:t>.</w:t>
      </w:r>
      <w:r w:rsidR="003F4DCD" w:rsidRPr="001763AE">
        <w:t xml:space="preserve"> Concerns about the NFA ‘earning’ money from protected areas </w:t>
      </w:r>
      <w:r w:rsidR="009C5E4B">
        <w:t xml:space="preserve">or about the MoECC avoiding its legal responsibilities </w:t>
      </w:r>
      <w:r w:rsidR="003F4DCD" w:rsidRPr="001763AE">
        <w:t>could be effectively countered with a clear and transparent p</w:t>
      </w:r>
      <w:r w:rsidR="009C5E4B">
        <w:t xml:space="preserve">olicy on how income is used, </w:t>
      </w:r>
      <w:r w:rsidR="003F4DCD" w:rsidRPr="001763AE">
        <w:t xml:space="preserve">by demonstrable improvements in the quality and effectiveness of management </w:t>
      </w:r>
      <w:r w:rsidR="009C5E4B">
        <w:t>resulting from increased income, and by more public participation in local development linked to protected areas.</w:t>
      </w:r>
    </w:p>
    <w:p w:rsidR="00CD37AD" w:rsidRPr="001763AE" w:rsidRDefault="001913A4" w:rsidP="00DB28F8">
      <w:pPr>
        <w:pStyle w:val="NumberedPara"/>
        <w:numPr>
          <w:ilvl w:val="0"/>
          <w:numId w:val="0"/>
        </w:numPr>
      </w:pPr>
      <w:r w:rsidRPr="001763AE">
        <w:t xml:space="preserve"> </w:t>
      </w:r>
      <w:r w:rsidR="00DC31FF" w:rsidRPr="001763AE">
        <w:t>C</w:t>
      </w:r>
      <w:r w:rsidRPr="001763AE">
        <w:t xml:space="preserve">oncerns </w:t>
      </w:r>
      <w:r w:rsidR="0079649E" w:rsidRPr="001763AE">
        <w:t>have also been</w:t>
      </w:r>
      <w:r w:rsidR="00DC31FF" w:rsidRPr="001763AE">
        <w:t xml:space="preserve"> </w:t>
      </w:r>
      <w:r w:rsidR="00D22715" w:rsidRPr="001763AE">
        <w:t xml:space="preserve">raised </w:t>
      </w:r>
      <w:r w:rsidR="001A74B6" w:rsidRPr="001763AE">
        <w:t xml:space="preserve">by some </w:t>
      </w:r>
      <w:r w:rsidR="00D22715" w:rsidRPr="001763AE">
        <w:t>tha</w:t>
      </w:r>
      <w:r w:rsidRPr="001763AE">
        <w:t>t the projec</w:t>
      </w:r>
      <w:r w:rsidR="00DC31FF" w:rsidRPr="001763AE">
        <w:t xml:space="preserve">t </w:t>
      </w:r>
      <w:r w:rsidRPr="001763AE">
        <w:t xml:space="preserve">focused </w:t>
      </w:r>
      <w:r w:rsidR="0079649E" w:rsidRPr="001763AE">
        <w:t xml:space="preserve">almost entirely </w:t>
      </w:r>
      <w:r w:rsidRPr="001763AE">
        <w:t xml:space="preserve">on the protected areas </w:t>
      </w:r>
      <w:r w:rsidR="00D22715" w:rsidRPr="001763AE">
        <w:t>and the NFA as the primary ‘</w:t>
      </w:r>
      <w:r w:rsidRPr="001763AE">
        <w:t>business units’, generating</w:t>
      </w:r>
      <w:r w:rsidR="00F13992" w:rsidRPr="001763AE">
        <w:t xml:space="preserve">, managing and spending income </w:t>
      </w:r>
      <w:r w:rsidRPr="001763AE">
        <w:t>to implement their management plans</w:t>
      </w:r>
      <w:r w:rsidR="00427F20" w:rsidRPr="001763AE">
        <w:t xml:space="preserve">. </w:t>
      </w:r>
      <w:r w:rsidR="00DC31FF" w:rsidRPr="001763AE">
        <w:t xml:space="preserve">It was </w:t>
      </w:r>
      <w:r w:rsidR="00F13992" w:rsidRPr="001763AE">
        <w:t xml:space="preserve">suggested </w:t>
      </w:r>
      <w:r w:rsidR="00FE19E7" w:rsidRPr="001763AE">
        <w:t xml:space="preserve">that </w:t>
      </w:r>
      <w:r w:rsidR="00245D6A" w:rsidRPr="001763AE">
        <w:t xml:space="preserve">partnership </w:t>
      </w:r>
      <w:r w:rsidR="000447D0" w:rsidRPr="001763AE">
        <w:t>should go</w:t>
      </w:r>
      <w:r w:rsidR="00DC31FF" w:rsidRPr="001763AE">
        <w:t xml:space="preserve"> beyond</w:t>
      </w:r>
      <w:r w:rsidR="006E16CE" w:rsidRPr="001763AE">
        <w:t xml:space="preserve"> </w:t>
      </w:r>
      <w:r w:rsidR="00DC31FF" w:rsidRPr="001763AE">
        <w:t>raising</w:t>
      </w:r>
      <w:r w:rsidR="00FE19E7" w:rsidRPr="001763AE">
        <w:t xml:space="preserve"> money to reduce funding gap</w:t>
      </w:r>
      <w:r w:rsidR="00DC31FF" w:rsidRPr="001763AE">
        <w:t>s</w:t>
      </w:r>
      <w:r w:rsidR="000447D0" w:rsidRPr="001763AE">
        <w:t>, and that t</w:t>
      </w:r>
      <w:r w:rsidR="00DC31FF" w:rsidRPr="001763AE">
        <w:t>he project could</w:t>
      </w:r>
      <w:r w:rsidR="006E16CE" w:rsidRPr="001763AE">
        <w:t xml:space="preserve"> </w:t>
      </w:r>
      <w:r w:rsidR="00F13992" w:rsidRPr="001763AE">
        <w:t xml:space="preserve">have adopted </w:t>
      </w:r>
      <w:r w:rsidR="00BE3DF2" w:rsidRPr="001763AE">
        <w:t xml:space="preserve">a </w:t>
      </w:r>
      <w:r w:rsidR="00245D6A" w:rsidRPr="001763AE">
        <w:t xml:space="preserve">more </w:t>
      </w:r>
      <w:r w:rsidR="001A74B6" w:rsidRPr="001763AE">
        <w:t xml:space="preserve">inclusive </w:t>
      </w:r>
      <w:r w:rsidR="00F53B63" w:rsidRPr="001763AE">
        <w:t xml:space="preserve">and multifaceted </w:t>
      </w:r>
      <w:r w:rsidR="00245D6A" w:rsidRPr="001763AE">
        <w:t>ra</w:t>
      </w:r>
      <w:r w:rsidR="00F13992" w:rsidRPr="001763AE">
        <w:t xml:space="preserve">nge of approaches, </w:t>
      </w:r>
      <w:r w:rsidR="000447D0" w:rsidRPr="001763AE">
        <w:t>seeing</w:t>
      </w:r>
      <w:r w:rsidR="00BE3DF2" w:rsidRPr="001763AE">
        <w:t xml:space="preserve"> </w:t>
      </w:r>
      <w:r w:rsidR="00245D6A" w:rsidRPr="001763AE">
        <w:t xml:space="preserve">protected areas </w:t>
      </w:r>
      <w:r w:rsidR="000447D0" w:rsidRPr="001763AE">
        <w:t xml:space="preserve">as a catalyst for local development, </w:t>
      </w:r>
      <w:r w:rsidR="00245D6A" w:rsidRPr="001763AE">
        <w:t>working with lo</w:t>
      </w:r>
      <w:r w:rsidR="003D7D4C" w:rsidRPr="001763AE">
        <w:t xml:space="preserve">cal government and communities </w:t>
      </w:r>
      <w:r w:rsidR="00245D6A" w:rsidRPr="001763AE">
        <w:t xml:space="preserve">to ‘grow’ the local economy </w:t>
      </w:r>
      <w:r w:rsidR="00F13992" w:rsidRPr="001763AE">
        <w:t xml:space="preserve">in ways that will build long term broad–based </w:t>
      </w:r>
      <w:r w:rsidR="000447D0" w:rsidRPr="001763AE">
        <w:t xml:space="preserve">social and financial support </w:t>
      </w:r>
      <w:r w:rsidR="00BE3DF2" w:rsidRPr="001763AE">
        <w:t>for protected areas</w:t>
      </w:r>
      <w:r w:rsidR="000447D0" w:rsidRPr="001763AE">
        <w:t xml:space="preserve"> and their communities</w:t>
      </w:r>
      <w:r w:rsidR="00427F20" w:rsidRPr="001763AE">
        <w:t>.</w:t>
      </w:r>
      <w:r w:rsidR="0079649E" w:rsidRPr="001763AE">
        <w:t xml:space="preserve"> </w:t>
      </w:r>
      <w:r w:rsidR="00F666AF">
        <w:t xml:space="preserve">An example of this approach is the system of certification of ecotourism destinations operated through the Ecotourism Association of Romania. </w:t>
      </w:r>
      <w:r w:rsidR="00565594" w:rsidRPr="001763AE">
        <w:t xml:space="preserve">The counterargument </w:t>
      </w:r>
      <w:r w:rsidR="00F53B63" w:rsidRPr="001763AE">
        <w:t>to this view</w:t>
      </w:r>
      <w:r w:rsidR="00BE3DF2" w:rsidRPr="001763AE">
        <w:t xml:space="preserve">, </w:t>
      </w:r>
      <w:r w:rsidR="000447D0" w:rsidRPr="001763AE">
        <w:t>is</w:t>
      </w:r>
      <w:r w:rsidR="00BE3DF2" w:rsidRPr="001763AE">
        <w:t xml:space="preserve"> that</w:t>
      </w:r>
      <w:r w:rsidR="00565594" w:rsidRPr="001763AE">
        <w:t xml:space="preserve"> the project </w:t>
      </w:r>
      <w:r w:rsidR="00F53B63" w:rsidRPr="001763AE">
        <w:t xml:space="preserve">was </w:t>
      </w:r>
      <w:r w:rsidR="00565594" w:rsidRPr="001763AE">
        <w:t xml:space="preserve">designed to explore and </w:t>
      </w:r>
      <w:r w:rsidR="00F53B63" w:rsidRPr="001763AE">
        <w:t>achieve a defined set of</w:t>
      </w:r>
      <w:r w:rsidR="00565594" w:rsidRPr="001763AE">
        <w:t xml:space="preserve"> solutions through a specific and proven methodology, and that broadening its scope, although perhaps desirable, </w:t>
      </w:r>
      <w:r w:rsidR="00F53B63" w:rsidRPr="001763AE">
        <w:t>would have diverted attention and fairly lim</w:t>
      </w:r>
      <w:r w:rsidR="00BE3DF2" w:rsidRPr="001763AE">
        <w:t>ited resources from its goals</w:t>
      </w:r>
      <w:r w:rsidR="00427F20" w:rsidRPr="001763AE">
        <w:t xml:space="preserve">. </w:t>
      </w:r>
      <w:r w:rsidR="00BE3DF2" w:rsidRPr="001763AE">
        <w:t>T</w:t>
      </w:r>
      <w:r w:rsidR="00F53B63" w:rsidRPr="001763AE">
        <w:t xml:space="preserve">his argument might have carried more weight </w:t>
      </w:r>
      <w:r w:rsidR="00BE3DF2" w:rsidRPr="001763AE">
        <w:t xml:space="preserve">had there been more success </w:t>
      </w:r>
      <w:r w:rsidR="00F53B63" w:rsidRPr="001763AE">
        <w:t>enclos</w:t>
      </w:r>
      <w:r w:rsidR="00BE3DF2" w:rsidRPr="001763AE">
        <w:t>ing the funding gap centrally</w:t>
      </w:r>
      <w:r w:rsidR="00427F20" w:rsidRPr="001763AE">
        <w:t xml:space="preserve">. </w:t>
      </w:r>
      <w:r w:rsidR="00BE3DF2" w:rsidRPr="001763AE">
        <w:t xml:space="preserve">While </w:t>
      </w:r>
      <w:r w:rsidR="000447D0" w:rsidRPr="001763AE">
        <w:t xml:space="preserve">there is no certainty </w:t>
      </w:r>
      <w:r w:rsidR="00F53B63" w:rsidRPr="001763AE">
        <w:t>th</w:t>
      </w:r>
      <w:r w:rsidR="0013322D" w:rsidRPr="001763AE">
        <w:t xml:space="preserve">at including a more flexible </w:t>
      </w:r>
      <w:r w:rsidR="00BE3DF2" w:rsidRPr="001763AE">
        <w:t xml:space="preserve">and locally based </w:t>
      </w:r>
      <w:r w:rsidR="00F53B63" w:rsidRPr="001763AE">
        <w:t>approach would have had any more success, the</w:t>
      </w:r>
      <w:r w:rsidR="00010476" w:rsidRPr="001763AE">
        <w:t xml:space="preserve"> </w:t>
      </w:r>
      <w:r w:rsidR="00BE3DF2" w:rsidRPr="001763AE">
        <w:t xml:space="preserve">project </w:t>
      </w:r>
      <w:r w:rsidR="00010476" w:rsidRPr="001763AE">
        <w:t xml:space="preserve">could </w:t>
      </w:r>
      <w:r w:rsidR="00F53B63" w:rsidRPr="001763AE">
        <w:t xml:space="preserve">have paid more heed </w:t>
      </w:r>
      <w:r w:rsidR="00010476" w:rsidRPr="001763AE">
        <w:t xml:space="preserve">to the concerns and suggestions coming from </w:t>
      </w:r>
      <w:r w:rsidR="00BE3DF2" w:rsidRPr="001763AE">
        <w:t xml:space="preserve">NGOs and </w:t>
      </w:r>
      <w:r w:rsidR="00010476" w:rsidRPr="001763AE">
        <w:t>specialists and</w:t>
      </w:r>
      <w:r w:rsidR="006E16CE" w:rsidRPr="001763AE">
        <w:t xml:space="preserve"> </w:t>
      </w:r>
      <w:r w:rsidR="00D6453E" w:rsidRPr="001763AE">
        <w:t xml:space="preserve">embraced a ‘Plan B’, that </w:t>
      </w:r>
      <w:r w:rsidR="00010476" w:rsidRPr="001763AE">
        <w:t>at least t</w:t>
      </w:r>
      <w:r w:rsidR="00BE3DF2" w:rsidRPr="001763AE">
        <w:t>ested some more locally driven</w:t>
      </w:r>
      <w:r w:rsidR="000B76C1" w:rsidRPr="001763AE">
        <w:t>, community based</w:t>
      </w:r>
      <w:r w:rsidR="00BE3DF2" w:rsidRPr="001763AE">
        <w:t xml:space="preserve"> </w:t>
      </w:r>
      <w:r w:rsidR="00010476" w:rsidRPr="001763AE">
        <w:t>approaches in one of the pilot sites</w:t>
      </w:r>
      <w:r w:rsidR="001A74B6" w:rsidRPr="001763AE">
        <w:t xml:space="preserve"> or in a Local Authority administered</w:t>
      </w:r>
      <w:r w:rsidR="0025256D">
        <w:t xml:space="preserve"> </w:t>
      </w:r>
      <w:r w:rsidR="001A74B6" w:rsidRPr="001763AE">
        <w:t xml:space="preserve">protected area. </w:t>
      </w:r>
      <w:r w:rsidR="00085769" w:rsidRPr="001763AE">
        <w:t>This would have also provided an alternative path to financial sustainability that was less reliant on central decision making.</w:t>
      </w:r>
    </w:p>
    <w:p w:rsidR="00990D01" w:rsidRPr="001763AE" w:rsidRDefault="00990D01" w:rsidP="00990D01">
      <w:pPr>
        <w:pStyle w:val="Heading5"/>
      </w:pPr>
      <w:r w:rsidRPr="001763AE">
        <w:t>Overall evaluation for Outcome 1</w:t>
      </w:r>
    </w:p>
    <w:p w:rsidR="0025256D" w:rsidRDefault="00E43E3B" w:rsidP="00DB28F8">
      <w:pPr>
        <w:pStyle w:val="NumberedPara"/>
        <w:numPr>
          <w:ilvl w:val="0"/>
          <w:numId w:val="0"/>
        </w:numPr>
      </w:pPr>
      <w:r w:rsidRPr="001763AE">
        <w:t xml:space="preserve">Achievement of the outcome </w:t>
      </w:r>
      <w:r w:rsidR="00372077" w:rsidRPr="001763AE">
        <w:t>w</w:t>
      </w:r>
      <w:r w:rsidRPr="001763AE">
        <w:t xml:space="preserve">as been hampered by </w:t>
      </w:r>
      <w:r w:rsidR="00372077" w:rsidRPr="001763AE">
        <w:t xml:space="preserve">its </w:t>
      </w:r>
      <w:r w:rsidRPr="001763AE">
        <w:t>very ambitious targets</w:t>
      </w:r>
      <w:r w:rsidR="00427F20" w:rsidRPr="001763AE">
        <w:t xml:space="preserve">. </w:t>
      </w:r>
      <w:r w:rsidR="00990D01" w:rsidRPr="001763AE">
        <w:t>Significant progress has been made by the project in building awareness and understanding of the financial challenges facing protected areas, the benefits that protected areas provide and the means by which values can be quantified and in many cases monetised</w:t>
      </w:r>
      <w:r w:rsidR="00427F20" w:rsidRPr="001763AE">
        <w:t xml:space="preserve">. </w:t>
      </w:r>
      <w:r w:rsidR="00990D01" w:rsidRPr="001763AE">
        <w:t>At the central level, and partly as a result of factors beyond the control of the project</w:t>
      </w:r>
      <w:r w:rsidR="0013322D" w:rsidRPr="001763AE">
        <w:t xml:space="preserve">, </w:t>
      </w:r>
      <w:r w:rsidR="002068BD" w:rsidRPr="001763AE">
        <w:t xml:space="preserve">it has not been possible to convert these concepts into </w:t>
      </w:r>
      <w:r w:rsidR="0013322D" w:rsidRPr="001763AE">
        <w:t xml:space="preserve">the envisaged </w:t>
      </w:r>
      <w:r w:rsidR="002068BD" w:rsidRPr="001763AE">
        <w:t>mechanisms for delivering long-term s</w:t>
      </w:r>
      <w:r w:rsidR="00BC7E1E" w:rsidRPr="001763AE">
        <w:t xml:space="preserve">ustainable financing. While delivery of increased direct funding was rendered virtually impossible by the financial crisis, </w:t>
      </w:r>
      <w:r w:rsidR="00181D16" w:rsidRPr="001763AE">
        <w:t xml:space="preserve">more </w:t>
      </w:r>
      <w:r w:rsidR="00912AE9" w:rsidRPr="001763AE">
        <w:t>progress could have been made towards</w:t>
      </w:r>
      <w:r w:rsidR="00181D16" w:rsidRPr="001763AE">
        <w:t xml:space="preserve"> </w:t>
      </w:r>
      <w:r w:rsidR="00BC7E1E" w:rsidRPr="001763AE">
        <w:t>adoption of mechanisms to g</w:t>
      </w:r>
      <w:r w:rsidR="00181D16" w:rsidRPr="001763AE">
        <w:t>enerate new sources of funding through PES</w:t>
      </w:r>
      <w:r w:rsidR="00912AE9" w:rsidRPr="001763AE">
        <w:t xml:space="preserve">, </w:t>
      </w:r>
      <w:r w:rsidR="00181D16" w:rsidRPr="001763AE">
        <w:t>mobilised through the National Environment Fund</w:t>
      </w:r>
      <w:r w:rsidR="00372077" w:rsidRPr="001763AE">
        <w:t xml:space="preserve"> which is under the direction of the MoECC</w:t>
      </w:r>
      <w:r w:rsidR="00181D16" w:rsidRPr="001763AE">
        <w:t xml:space="preserve">. </w:t>
      </w:r>
      <w:r w:rsidR="00912AE9" w:rsidRPr="001763AE">
        <w:t xml:space="preserve">The </w:t>
      </w:r>
      <w:r w:rsidR="002068BD" w:rsidRPr="001763AE">
        <w:t xml:space="preserve">mechanisms </w:t>
      </w:r>
      <w:r w:rsidR="00912AE9" w:rsidRPr="001763AE">
        <w:t xml:space="preserve">proposed by the project </w:t>
      </w:r>
      <w:r w:rsidR="002068BD" w:rsidRPr="001763AE">
        <w:t xml:space="preserve">have been </w:t>
      </w:r>
      <w:r w:rsidR="00912AE9" w:rsidRPr="001763AE">
        <w:t xml:space="preserve">documented </w:t>
      </w:r>
      <w:r w:rsidR="002068BD" w:rsidRPr="001763AE">
        <w:t>in detail and remain available for later adoption</w:t>
      </w:r>
      <w:r w:rsidR="00427F20" w:rsidRPr="001763AE">
        <w:t xml:space="preserve">. </w:t>
      </w:r>
      <w:r w:rsidR="002068BD" w:rsidRPr="001763AE">
        <w:t>Through the interventions of the project</w:t>
      </w:r>
      <w:r w:rsidR="0013322D" w:rsidRPr="001763AE">
        <w:t>,</w:t>
      </w:r>
      <w:r w:rsidR="002068BD" w:rsidRPr="001763AE">
        <w:t xml:space="preserve"> significant s</w:t>
      </w:r>
      <w:r w:rsidR="0013322D" w:rsidRPr="001763AE">
        <w:t xml:space="preserve">hort to medium </w:t>
      </w:r>
      <w:r w:rsidR="002068BD" w:rsidRPr="001763AE">
        <w:t>term support for protected areas has been mobilised</w:t>
      </w:r>
      <w:r w:rsidR="0013322D" w:rsidRPr="001763AE">
        <w:t xml:space="preserve"> (</w:t>
      </w:r>
      <w:r w:rsidR="00F666AF">
        <w:t>at least until</w:t>
      </w:r>
      <w:r w:rsidR="0013322D" w:rsidRPr="001763AE">
        <w:t xml:space="preserve"> 2020)</w:t>
      </w:r>
      <w:r w:rsidR="00427F20" w:rsidRPr="001763AE">
        <w:t xml:space="preserve">. </w:t>
      </w:r>
      <w:r w:rsidR="002068BD" w:rsidRPr="001763AE">
        <w:t>At the protected area level</w:t>
      </w:r>
      <w:r w:rsidR="00484AB2" w:rsidRPr="001763AE">
        <w:t>,</w:t>
      </w:r>
      <w:r w:rsidR="002068BD" w:rsidRPr="001763AE">
        <w:t xml:space="preserve"> good progress has been made in identifying and mobilising sources of local financial support, but </w:t>
      </w:r>
      <w:r w:rsidR="00912AE9" w:rsidRPr="001763AE">
        <w:t xml:space="preserve">there is a need to </w:t>
      </w:r>
      <w:r w:rsidR="00484AB2" w:rsidRPr="001763AE">
        <w:t>be clearer about</w:t>
      </w:r>
      <w:r w:rsidR="002068BD" w:rsidRPr="001763AE">
        <w:t xml:space="preserve"> how new sources of income </w:t>
      </w:r>
      <w:r w:rsidR="00484AB2" w:rsidRPr="001763AE">
        <w:t>are</w:t>
      </w:r>
      <w:r w:rsidR="002068BD" w:rsidRPr="001763AE">
        <w:t xml:space="preserve"> used</w:t>
      </w:r>
      <w:r w:rsidR="00912AE9" w:rsidRPr="001763AE">
        <w:t xml:space="preserve"> and to let the paying public know how their contributions are leading to better protection and management</w:t>
      </w:r>
      <w:r w:rsidR="00F666AF">
        <w:t xml:space="preserve"> and also to provide much better logistical support to protected area teams tasked with finding new sources of funding</w:t>
      </w:r>
      <w:r w:rsidR="00427F20" w:rsidRPr="001763AE">
        <w:t xml:space="preserve">. </w:t>
      </w:r>
      <w:r w:rsidR="002068BD" w:rsidRPr="001763AE">
        <w:t xml:space="preserve">The project </w:t>
      </w:r>
      <w:r w:rsidR="009F4388" w:rsidRPr="001763AE">
        <w:t xml:space="preserve">has </w:t>
      </w:r>
      <w:r w:rsidR="002068BD" w:rsidRPr="001763AE">
        <w:t xml:space="preserve">closely followed a well-respected methodology for economic assessment, but </w:t>
      </w:r>
      <w:r w:rsidR="00912AE9" w:rsidRPr="001763AE">
        <w:t xml:space="preserve">could </w:t>
      </w:r>
      <w:r w:rsidR="001547CE" w:rsidRPr="001763AE">
        <w:t xml:space="preserve">have incorporated </w:t>
      </w:r>
      <w:r w:rsidR="00912AE9" w:rsidRPr="001763AE">
        <w:t>more locally based approaches to b</w:t>
      </w:r>
      <w:r w:rsidRPr="001763AE">
        <w:t>uilding local social and financial support</w:t>
      </w:r>
      <w:r w:rsidR="001547CE" w:rsidRPr="001763AE">
        <w:t xml:space="preserve"> for protected areas, thereby </w:t>
      </w:r>
      <w:r w:rsidR="00085769" w:rsidRPr="001763AE">
        <w:t xml:space="preserve">reducing reliance on decisions made in the difficult enabling environment at the centre. </w:t>
      </w:r>
      <w:r w:rsidR="00887831" w:rsidRPr="001763AE">
        <w:t xml:space="preserve">Overall </w:t>
      </w:r>
      <w:r w:rsidR="00085769" w:rsidRPr="001763AE">
        <w:t xml:space="preserve">achievement of this </w:t>
      </w:r>
      <w:r w:rsidR="00887831" w:rsidRPr="001763AE">
        <w:t xml:space="preserve">outcome is </w:t>
      </w:r>
      <w:r w:rsidR="00F666AF">
        <w:t xml:space="preserve">currently </w:t>
      </w:r>
      <w:r w:rsidR="00887831" w:rsidRPr="001763AE">
        <w:t>evaluated as</w:t>
      </w:r>
      <w:r w:rsidR="00085769" w:rsidRPr="001763AE">
        <w:t xml:space="preserve"> </w:t>
      </w:r>
      <w:r w:rsidR="00085769" w:rsidRPr="001763AE">
        <w:rPr>
          <w:b/>
        </w:rPr>
        <w:t>Moderately Satisfactory (MS)</w:t>
      </w:r>
      <w:r w:rsidR="00085769" w:rsidRPr="001763AE">
        <w:t xml:space="preserve">, with </w:t>
      </w:r>
      <w:r w:rsidR="00484AB2" w:rsidRPr="001763AE">
        <w:t xml:space="preserve">only </w:t>
      </w:r>
      <w:r w:rsidR="00086A35" w:rsidRPr="001763AE">
        <w:t>moderate shortcomings</w:t>
      </w:r>
      <w:r w:rsidR="00372077" w:rsidRPr="001763AE">
        <w:t xml:space="preserve">. </w:t>
      </w:r>
      <w:r w:rsidR="00F666AF">
        <w:t>It is possible that approval of the Forest Code with inclusion of the proposed mechanisms for PES could be approved this year, which would be a significant achievement.</w:t>
      </w:r>
    </w:p>
    <w:p w:rsidR="00353403" w:rsidRPr="001763AE" w:rsidRDefault="00353403">
      <w:pPr>
        <w:spacing w:after="200" w:line="276" w:lineRule="auto"/>
      </w:pPr>
      <w:r w:rsidRPr="001763AE">
        <w:br w:type="page"/>
      </w:r>
    </w:p>
    <w:p w:rsidR="00427F20" w:rsidRPr="005F4EAE" w:rsidRDefault="009F4388" w:rsidP="00DB28F8">
      <w:pPr>
        <w:pStyle w:val="Heading3"/>
        <w:numPr>
          <w:ilvl w:val="0"/>
          <w:numId w:val="0"/>
        </w:numPr>
        <w:ind w:left="720" w:hanging="720"/>
        <w:rPr>
          <w:b w:val="0"/>
        </w:rPr>
      </w:pPr>
      <w:bookmarkStart w:id="37" w:name="_Toc396725230"/>
      <w:r w:rsidRPr="006E6ED1">
        <w:t>Eval</w:t>
      </w:r>
      <w:r w:rsidRPr="001763AE">
        <w:t xml:space="preserve">uation of </w:t>
      </w:r>
      <w:r w:rsidR="005F4EAE">
        <w:t>Outcome 2</w:t>
      </w:r>
      <w:bookmarkEnd w:id="37"/>
      <w:r w:rsidR="00DB28F8">
        <w:t xml:space="preserve"> </w:t>
      </w:r>
      <w:r w:rsidR="005F4EAE">
        <w:t>‘</w:t>
      </w:r>
      <w:r w:rsidR="000D5CB2" w:rsidRPr="005F4EAE">
        <w:t>Institutional and individual capacities of management authorities and other local stakeholders to realize sustainable financing of PAs developed</w:t>
      </w:r>
      <w:r w:rsidR="005F4EAE">
        <w:t>’</w:t>
      </w:r>
    </w:p>
    <w:p w:rsidR="00427F20" w:rsidRPr="001763AE" w:rsidRDefault="00940762" w:rsidP="00DB28F8">
      <w:pPr>
        <w:pStyle w:val="NumberedPara"/>
        <w:numPr>
          <w:ilvl w:val="0"/>
          <w:numId w:val="0"/>
        </w:numPr>
      </w:pPr>
      <w:r w:rsidRPr="001763AE">
        <w:t>T</w:t>
      </w:r>
      <w:r w:rsidR="009F4388" w:rsidRPr="001763AE">
        <w:t>he results from Outcome 2</w:t>
      </w:r>
      <w:r w:rsidRPr="001763AE">
        <w:t xml:space="preserve"> are summarised in</w:t>
      </w:r>
      <w:r w:rsidR="00E43E3B" w:rsidRPr="001763AE">
        <w:t xml:space="preserve"> </w:t>
      </w:r>
      <w:r w:rsidR="00217E75" w:rsidRPr="001763AE">
        <w:fldChar w:fldCharType="begin"/>
      </w:r>
      <w:r w:rsidR="00E43E3B" w:rsidRPr="001763AE">
        <w:instrText xml:space="preserve"> REF _Ref391905850 \h </w:instrText>
      </w:r>
      <w:r w:rsidR="00217E75" w:rsidRPr="001763AE">
        <w:fldChar w:fldCharType="separate"/>
      </w:r>
      <w:r w:rsidR="00D406FE" w:rsidRPr="001763AE">
        <w:t xml:space="preserve">Table </w:t>
      </w:r>
      <w:r w:rsidR="00D406FE">
        <w:rPr>
          <w:noProof/>
        </w:rPr>
        <w:t>23</w:t>
      </w:r>
      <w:r w:rsidR="00217E75" w:rsidRPr="001763AE">
        <w:fldChar w:fldCharType="end"/>
      </w:r>
      <w:r w:rsidR="00427F20" w:rsidRPr="001763AE">
        <w:t>.</w:t>
      </w:r>
    </w:p>
    <w:p w:rsidR="00940762" w:rsidRPr="001763AE" w:rsidRDefault="00940762" w:rsidP="00940762">
      <w:pPr>
        <w:pStyle w:val="Caption"/>
      </w:pPr>
      <w:bookmarkStart w:id="38" w:name="_Ref391905850"/>
      <w:r w:rsidRPr="001763AE">
        <w:t xml:space="preserve">Table </w:t>
      </w:r>
      <w:r w:rsidR="00C072C9">
        <w:fldChar w:fldCharType="begin"/>
      </w:r>
      <w:r w:rsidR="00C072C9">
        <w:instrText xml:space="preserve"> SEQ Table \* ARABIC </w:instrText>
      </w:r>
      <w:r w:rsidR="00C072C9">
        <w:fldChar w:fldCharType="separate"/>
      </w:r>
      <w:r w:rsidR="00D406FE">
        <w:rPr>
          <w:noProof/>
        </w:rPr>
        <w:t>23</w:t>
      </w:r>
      <w:r w:rsidR="00C072C9">
        <w:rPr>
          <w:noProof/>
        </w:rPr>
        <w:fldChar w:fldCharType="end"/>
      </w:r>
      <w:bookmarkEnd w:id="38"/>
      <w:r w:rsidRPr="001763AE">
        <w:t xml:space="preserve"> Summary of results based on indicators for Outcome 2</w:t>
      </w:r>
      <w:r w:rsidR="000F681F">
        <w:t>.</w:t>
      </w:r>
    </w:p>
    <w:tbl>
      <w:tblPr>
        <w:tblStyle w:val="BasicReportTable"/>
        <w:tblW w:w="5000" w:type="pct"/>
        <w:tblCellMar>
          <w:top w:w="85" w:type="dxa"/>
          <w:bottom w:w="85" w:type="dxa"/>
        </w:tblCellMar>
        <w:tblLook w:val="04A0" w:firstRow="1" w:lastRow="0" w:firstColumn="1" w:lastColumn="0" w:noHBand="0" w:noVBand="1"/>
      </w:tblPr>
      <w:tblGrid>
        <w:gridCol w:w="2189"/>
        <w:gridCol w:w="2188"/>
        <w:gridCol w:w="924"/>
        <w:gridCol w:w="1358"/>
        <w:gridCol w:w="1413"/>
        <w:gridCol w:w="936"/>
        <w:gridCol w:w="847"/>
      </w:tblGrid>
      <w:tr w:rsidR="004F7F6A" w:rsidRPr="001763AE" w:rsidTr="006F6860">
        <w:trPr>
          <w:cnfStyle w:val="100000000000" w:firstRow="1" w:lastRow="0" w:firstColumn="0" w:lastColumn="0" w:oddVBand="0" w:evenVBand="0" w:oddHBand="0" w:evenHBand="0" w:firstRowFirstColumn="0" w:firstRowLastColumn="0" w:lastRowFirstColumn="0" w:lastRowLastColumn="0"/>
          <w:trHeight w:val="576"/>
        </w:trPr>
        <w:tc>
          <w:tcPr>
            <w:tcW w:w="1111" w:type="pct"/>
          </w:tcPr>
          <w:p w:rsidR="004F7F6A" w:rsidRPr="001763AE" w:rsidRDefault="004F7F6A" w:rsidP="00D6453E">
            <w:pPr>
              <w:spacing w:line="216" w:lineRule="auto"/>
              <w:rPr>
                <w:sz w:val="18"/>
                <w:szCs w:val="18"/>
              </w:rPr>
            </w:pPr>
            <w:r w:rsidRPr="001763AE">
              <w:rPr>
                <w:sz w:val="18"/>
                <w:szCs w:val="18"/>
              </w:rPr>
              <w:t>Outputs</w:t>
            </w:r>
          </w:p>
        </w:tc>
        <w:tc>
          <w:tcPr>
            <w:tcW w:w="1110" w:type="pct"/>
          </w:tcPr>
          <w:p w:rsidR="004F7F6A" w:rsidRPr="001763AE" w:rsidRDefault="004F7F6A" w:rsidP="00D6453E">
            <w:pPr>
              <w:spacing w:line="216" w:lineRule="auto"/>
              <w:rPr>
                <w:sz w:val="18"/>
                <w:szCs w:val="18"/>
              </w:rPr>
            </w:pPr>
            <w:r w:rsidRPr="001763AE">
              <w:rPr>
                <w:sz w:val="18"/>
                <w:szCs w:val="18"/>
              </w:rPr>
              <w:t>Indicators</w:t>
            </w:r>
          </w:p>
        </w:tc>
        <w:tc>
          <w:tcPr>
            <w:tcW w:w="469" w:type="pct"/>
          </w:tcPr>
          <w:p w:rsidR="004F7F6A" w:rsidRPr="001763AE" w:rsidRDefault="004F7F6A" w:rsidP="00D6453E">
            <w:pPr>
              <w:spacing w:line="216" w:lineRule="auto"/>
              <w:rPr>
                <w:sz w:val="18"/>
                <w:szCs w:val="18"/>
              </w:rPr>
            </w:pPr>
            <w:r w:rsidRPr="001763AE">
              <w:rPr>
                <w:sz w:val="18"/>
                <w:szCs w:val="18"/>
              </w:rPr>
              <w:t>Baseline measure</w:t>
            </w:r>
          </w:p>
        </w:tc>
        <w:tc>
          <w:tcPr>
            <w:tcW w:w="689" w:type="pct"/>
          </w:tcPr>
          <w:p w:rsidR="004F7F6A" w:rsidRPr="001763AE" w:rsidRDefault="004F7F6A" w:rsidP="00D6453E">
            <w:pPr>
              <w:spacing w:line="216" w:lineRule="auto"/>
              <w:rPr>
                <w:sz w:val="18"/>
                <w:szCs w:val="18"/>
              </w:rPr>
            </w:pPr>
            <w:r w:rsidRPr="001763AE">
              <w:rPr>
                <w:sz w:val="18"/>
                <w:szCs w:val="18"/>
              </w:rPr>
              <w:t>Target</w:t>
            </w:r>
          </w:p>
        </w:tc>
        <w:tc>
          <w:tcPr>
            <w:tcW w:w="717" w:type="pct"/>
          </w:tcPr>
          <w:p w:rsidR="004F7F6A" w:rsidRPr="001763AE" w:rsidRDefault="004F7F6A" w:rsidP="00D6453E">
            <w:pPr>
              <w:spacing w:line="216" w:lineRule="auto"/>
              <w:rPr>
                <w:sz w:val="18"/>
                <w:szCs w:val="18"/>
              </w:rPr>
            </w:pPr>
            <w:r w:rsidRPr="001763AE">
              <w:rPr>
                <w:sz w:val="18"/>
                <w:szCs w:val="18"/>
              </w:rPr>
              <w:t>Final measure</w:t>
            </w:r>
          </w:p>
        </w:tc>
        <w:tc>
          <w:tcPr>
            <w:tcW w:w="475" w:type="pct"/>
          </w:tcPr>
          <w:p w:rsidR="004F7F6A" w:rsidRPr="001763AE" w:rsidRDefault="004F7F6A" w:rsidP="00D6453E">
            <w:pPr>
              <w:spacing w:line="216" w:lineRule="auto"/>
              <w:rPr>
                <w:sz w:val="18"/>
                <w:szCs w:val="18"/>
              </w:rPr>
            </w:pPr>
            <w:r w:rsidRPr="001763AE">
              <w:rPr>
                <w:sz w:val="18"/>
                <w:szCs w:val="18"/>
              </w:rPr>
              <w:t>Indicator Rating</w:t>
            </w:r>
          </w:p>
        </w:tc>
        <w:tc>
          <w:tcPr>
            <w:tcW w:w="430" w:type="pct"/>
          </w:tcPr>
          <w:p w:rsidR="004F7F6A" w:rsidRPr="001763AE" w:rsidRDefault="004F7F6A" w:rsidP="00D6453E">
            <w:pPr>
              <w:spacing w:line="216" w:lineRule="auto"/>
              <w:rPr>
                <w:sz w:val="18"/>
                <w:szCs w:val="18"/>
              </w:rPr>
            </w:pPr>
            <w:r w:rsidRPr="001763AE">
              <w:rPr>
                <w:sz w:val="18"/>
                <w:szCs w:val="18"/>
              </w:rPr>
              <w:t>Output rating</w:t>
            </w:r>
          </w:p>
        </w:tc>
      </w:tr>
      <w:tr w:rsidR="004F7F6A" w:rsidRPr="001763AE" w:rsidTr="006F6860">
        <w:tc>
          <w:tcPr>
            <w:tcW w:w="1111" w:type="pct"/>
            <w:vMerge w:val="restart"/>
          </w:tcPr>
          <w:p w:rsidR="004F7F6A" w:rsidRPr="001763AE" w:rsidRDefault="004F7F6A" w:rsidP="006F6860">
            <w:pPr>
              <w:spacing w:line="240" w:lineRule="auto"/>
              <w:rPr>
                <w:rFonts w:cs="Times New Roman"/>
                <w:sz w:val="18"/>
                <w:szCs w:val="18"/>
              </w:rPr>
            </w:pPr>
            <w:r w:rsidRPr="001763AE">
              <w:rPr>
                <w:rFonts w:cs="Times New Roman"/>
                <w:sz w:val="18"/>
                <w:szCs w:val="18"/>
              </w:rPr>
              <w:t>2</w:t>
            </w:r>
            <w:r w:rsidR="007C63A9" w:rsidRPr="001763AE">
              <w:rPr>
                <w:rFonts w:cs="Times New Roman"/>
                <w:sz w:val="18"/>
                <w:szCs w:val="18"/>
              </w:rPr>
              <w:t>.1</w:t>
            </w:r>
            <w:r w:rsidRPr="001763AE">
              <w:rPr>
                <w:rFonts w:cs="Times New Roman"/>
                <w:sz w:val="18"/>
                <w:szCs w:val="18"/>
              </w:rPr>
              <w:t>: A critical number of PA finance professionals (Minimum 36 staff, 3 from each PA including leading and cluster PAs) trained</w:t>
            </w:r>
            <w:r w:rsidR="006E6ED1">
              <w:rPr>
                <w:rFonts w:cs="Times New Roman"/>
                <w:sz w:val="18"/>
                <w:szCs w:val="18"/>
              </w:rPr>
              <w:t>.</w:t>
            </w:r>
          </w:p>
          <w:p w:rsidR="004F7F6A" w:rsidRPr="001763AE" w:rsidRDefault="004F7F6A" w:rsidP="006F6860">
            <w:pPr>
              <w:pStyle w:val="BodyText23"/>
              <w:widowControl/>
              <w:tabs>
                <w:tab w:val="clear" w:pos="547"/>
              </w:tabs>
              <w:rPr>
                <w:sz w:val="18"/>
                <w:szCs w:val="18"/>
                <w:lang w:val="en-GB"/>
              </w:rPr>
            </w:pPr>
          </w:p>
        </w:tc>
        <w:tc>
          <w:tcPr>
            <w:tcW w:w="1110" w:type="pct"/>
          </w:tcPr>
          <w:p w:rsidR="004F7F6A" w:rsidRPr="001763AE" w:rsidRDefault="004F7F6A" w:rsidP="006F6860">
            <w:pPr>
              <w:pStyle w:val="BodyText23"/>
              <w:widowControl/>
              <w:tabs>
                <w:tab w:val="clear" w:pos="547"/>
              </w:tabs>
              <w:rPr>
                <w:sz w:val="18"/>
                <w:szCs w:val="18"/>
                <w:lang w:val="en-GB"/>
              </w:rPr>
            </w:pPr>
            <w:r w:rsidRPr="001763AE">
              <w:rPr>
                <w:sz w:val="18"/>
                <w:szCs w:val="18"/>
                <w:lang w:val="en-GB"/>
              </w:rPr>
              <w:t>Number of PA staff trained in effect</w:t>
            </w:r>
            <w:r w:rsidR="006E6ED1">
              <w:rPr>
                <w:sz w:val="18"/>
                <w:szCs w:val="18"/>
                <w:lang w:val="en-GB"/>
              </w:rPr>
              <w:t>ive financial management of PAs.</w:t>
            </w:r>
          </w:p>
        </w:tc>
        <w:tc>
          <w:tcPr>
            <w:tcW w:w="469" w:type="pct"/>
          </w:tcPr>
          <w:p w:rsidR="004F7F6A" w:rsidRPr="001763AE" w:rsidRDefault="004F7F6A" w:rsidP="006F6860">
            <w:pPr>
              <w:spacing w:line="240" w:lineRule="auto"/>
              <w:rPr>
                <w:rFonts w:cs="Times New Roman"/>
                <w:sz w:val="18"/>
                <w:szCs w:val="18"/>
              </w:rPr>
            </w:pPr>
            <w:r w:rsidRPr="001763AE">
              <w:rPr>
                <w:rFonts w:cs="Times New Roman"/>
                <w:sz w:val="18"/>
                <w:szCs w:val="18"/>
              </w:rPr>
              <w:t>0</w:t>
            </w:r>
          </w:p>
        </w:tc>
        <w:tc>
          <w:tcPr>
            <w:tcW w:w="689" w:type="pct"/>
          </w:tcPr>
          <w:p w:rsidR="004F7F6A" w:rsidRPr="001763AE" w:rsidRDefault="006E6ED1" w:rsidP="006F6860">
            <w:pPr>
              <w:spacing w:line="240" w:lineRule="auto"/>
              <w:rPr>
                <w:rFonts w:cs="Times New Roman"/>
                <w:b/>
                <w:sz w:val="18"/>
                <w:szCs w:val="18"/>
              </w:rPr>
            </w:pPr>
            <w:r>
              <w:rPr>
                <w:rFonts w:cs="Times New Roman"/>
                <w:sz w:val="18"/>
                <w:szCs w:val="18"/>
              </w:rPr>
              <w:t>At least 33 b</w:t>
            </w:r>
            <w:r w:rsidR="004F7F6A" w:rsidRPr="001763AE">
              <w:rPr>
                <w:rFonts w:cs="Times New Roman"/>
                <w:sz w:val="18"/>
                <w:szCs w:val="18"/>
              </w:rPr>
              <w:t xml:space="preserve">y </w:t>
            </w:r>
            <w:r w:rsidR="00E2271C" w:rsidRPr="001763AE">
              <w:rPr>
                <w:rFonts w:cs="Times New Roman"/>
                <w:sz w:val="18"/>
                <w:szCs w:val="18"/>
              </w:rPr>
              <w:t>Dec. 2012</w:t>
            </w:r>
            <w:r>
              <w:rPr>
                <w:rFonts w:cs="Times New Roman"/>
                <w:sz w:val="18"/>
                <w:szCs w:val="18"/>
              </w:rPr>
              <w:t>.</w:t>
            </w:r>
          </w:p>
        </w:tc>
        <w:tc>
          <w:tcPr>
            <w:tcW w:w="717" w:type="pct"/>
          </w:tcPr>
          <w:p w:rsidR="004F7F6A" w:rsidRPr="001763AE" w:rsidRDefault="004F7F6A" w:rsidP="006F6860">
            <w:pPr>
              <w:spacing w:line="240" w:lineRule="auto"/>
              <w:rPr>
                <w:rFonts w:cs="Times New Roman"/>
                <w:sz w:val="18"/>
                <w:szCs w:val="18"/>
              </w:rPr>
            </w:pPr>
            <w:r w:rsidRPr="001763AE">
              <w:rPr>
                <w:rFonts w:cs="Times New Roman"/>
                <w:sz w:val="18"/>
                <w:szCs w:val="18"/>
              </w:rPr>
              <w:t>More than 60 personnel attended training events</w:t>
            </w:r>
            <w:r w:rsidR="00427F20" w:rsidRPr="001763AE">
              <w:rPr>
                <w:rFonts w:cs="Times New Roman"/>
                <w:sz w:val="18"/>
                <w:szCs w:val="18"/>
              </w:rPr>
              <w:t xml:space="preserve">. </w:t>
            </w:r>
            <w:r w:rsidR="009F4388" w:rsidRPr="001763AE">
              <w:rPr>
                <w:rFonts w:cs="Times New Roman"/>
                <w:sz w:val="18"/>
                <w:szCs w:val="18"/>
              </w:rPr>
              <w:t xml:space="preserve">Over </w:t>
            </w:r>
            <w:r w:rsidRPr="001763AE">
              <w:rPr>
                <w:rFonts w:cs="Times New Roman"/>
                <w:sz w:val="18"/>
                <w:szCs w:val="18"/>
              </w:rPr>
              <w:t>1500 person/</w:t>
            </w:r>
            <w:r w:rsidR="009F4388" w:rsidRPr="001763AE">
              <w:rPr>
                <w:rFonts w:cs="Times New Roman"/>
                <w:sz w:val="18"/>
                <w:szCs w:val="18"/>
              </w:rPr>
              <w:t xml:space="preserve"> </w:t>
            </w:r>
            <w:r w:rsidRPr="001763AE">
              <w:rPr>
                <w:rFonts w:cs="Times New Roman"/>
                <w:sz w:val="18"/>
                <w:szCs w:val="18"/>
              </w:rPr>
              <w:t>days of training delivered</w:t>
            </w:r>
            <w:r w:rsidR="00427F20" w:rsidRPr="001763AE">
              <w:rPr>
                <w:rFonts w:cs="Times New Roman"/>
                <w:sz w:val="18"/>
                <w:szCs w:val="18"/>
              </w:rPr>
              <w:t xml:space="preserve">. </w:t>
            </w:r>
          </w:p>
        </w:tc>
        <w:tc>
          <w:tcPr>
            <w:tcW w:w="475" w:type="pct"/>
            <w:vAlign w:val="center"/>
          </w:tcPr>
          <w:p w:rsidR="004F7F6A" w:rsidRPr="001763AE" w:rsidRDefault="004F7F6A" w:rsidP="006F6860">
            <w:pPr>
              <w:spacing w:line="240" w:lineRule="auto"/>
              <w:jc w:val="center"/>
              <w:rPr>
                <w:rFonts w:cs="Times New Roman"/>
                <w:b/>
                <w:sz w:val="18"/>
                <w:szCs w:val="18"/>
              </w:rPr>
            </w:pPr>
            <w:r w:rsidRPr="001763AE">
              <w:rPr>
                <w:rFonts w:cs="Times New Roman"/>
                <w:b/>
                <w:sz w:val="18"/>
                <w:szCs w:val="18"/>
              </w:rPr>
              <w:t>S</w:t>
            </w:r>
          </w:p>
        </w:tc>
        <w:tc>
          <w:tcPr>
            <w:tcW w:w="430" w:type="pct"/>
            <w:vMerge w:val="restart"/>
            <w:vAlign w:val="center"/>
          </w:tcPr>
          <w:p w:rsidR="004F7F6A" w:rsidRPr="001763AE" w:rsidRDefault="004F7F6A" w:rsidP="006F6860">
            <w:pPr>
              <w:spacing w:line="240" w:lineRule="auto"/>
              <w:jc w:val="center"/>
              <w:rPr>
                <w:rFonts w:cs="Times New Roman"/>
                <w:b/>
                <w:sz w:val="18"/>
                <w:szCs w:val="18"/>
              </w:rPr>
            </w:pPr>
            <w:r w:rsidRPr="001763AE">
              <w:rPr>
                <w:rFonts w:cs="Times New Roman"/>
                <w:b/>
                <w:sz w:val="18"/>
                <w:szCs w:val="18"/>
              </w:rPr>
              <w:t>S</w:t>
            </w:r>
          </w:p>
        </w:tc>
      </w:tr>
      <w:tr w:rsidR="004F7F6A" w:rsidRPr="001763AE" w:rsidTr="006F6860">
        <w:tc>
          <w:tcPr>
            <w:tcW w:w="1111" w:type="pct"/>
            <w:vMerge/>
          </w:tcPr>
          <w:p w:rsidR="004F7F6A" w:rsidRPr="001763AE" w:rsidRDefault="004F7F6A" w:rsidP="006F6860">
            <w:pPr>
              <w:spacing w:line="240" w:lineRule="auto"/>
              <w:rPr>
                <w:rFonts w:cs="Times New Roman"/>
                <w:sz w:val="18"/>
                <w:szCs w:val="18"/>
              </w:rPr>
            </w:pPr>
          </w:p>
        </w:tc>
        <w:tc>
          <w:tcPr>
            <w:tcW w:w="1110" w:type="pct"/>
          </w:tcPr>
          <w:p w:rsidR="004F7F6A" w:rsidRPr="001763AE" w:rsidRDefault="008300C9" w:rsidP="006F6860">
            <w:pPr>
              <w:spacing w:line="240" w:lineRule="auto"/>
              <w:rPr>
                <w:rFonts w:cs="Times New Roman"/>
                <w:sz w:val="18"/>
                <w:szCs w:val="18"/>
              </w:rPr>
            </w:pPr>
            <w:r w:rsidRPr="001763AE">
              <w:rPr>
                <w:rFonts w:cs="Times New Roman"/>
                <w:sz w:val="18"/>
                <w:szCs w:val="18"/>
              </w:rPr>
              <w:t xml:space="preserve">Number </w:t>
            </w:r>
            <w:r w:rsidR="004F7F6A" w:rsidRPr="001763AE">
              <w:rPr>
                <w:rFonts w:cs="Times New Roman"/>
                <w:sz w:val="18"/>
                <w:szCs w:val="18"/>
              </w:rPr>
              <w:t xml:space="preserve">of </w:t>
            </w:r>
            <w:r w:rsidR="00410B73" w:rsidRPr="001763AE">
              <w:rPr>
                <w:rFonts w:cs="Times New Roman"/>
                <w:sz w:val="18"/>
                <w:szCs w:val="18"/>
              </w:rPr>
              <w:t>‘</w:t>
            </w:r>
            <w:r w:rsidR="004F7F6A" w:rsidRPr="001763AE">
              <w:rPr>
                <w:rFonts w:cs="Times New Roman"/>
                <w:sz w:val="18"/>
                <w:szCs w:val="18"/>
              </w:rPr>
              <w:t>Champion</w:t>
            </w:r>
            <w:r w:rsidR="00410B73" w:rsidRPr="001763AE">
              <w:rPr>
                <w:rFonts w:cs="Times New Roman"/>
                <w:sz w:val="18"/>
                <w:szCs w:val="18"/>
              </w:rPr>
              <w:t xml:space="preserve"> PA Finance Leaders’</w:t>
            </w:r>
            <w:r w:rsidR="006E16CE" w:rsidRPr="001763AE">
              <w:rPr>
                <w:rFonts w:cs="Times New Roman"/>
                <w:sz w:val="18"/>
                <w:szCs w:val="18"/>
              </w:rPr>
              <w:t xml:space="preserve"> </w:t>
            </w:r>
            <w:r w:rsidR="004F7F6A" w:rsidRPr="001763AE">
              <w:rPr>
                <w:rFonts w:cs="Times New Roman"/>
                <w:sz w:val="18"/>
                <w:szCs w:val="18"/>
              </w:rPr>
              <w:t>graduated</w:t>
            </w:r>
            <w:r w:rsidR="006E6ED1">
              <w:rPr>
                <w:rFonts w:cs="Times New Roman"/>
                <w:sz w:val="18"/>
                <w:szCs w:val="18"/>
              </w:rPr>
              <w:t>.</w:t>
            </w:r>
          </w:p>
        </w:tc>
        <w:tc>
          <w:tcPr>
            <w:tcW w:w="469" w:type="pct"/>
          </w:tcPr>
          <w:p w:rsidR="004F7F6A" w:rsidRPr="001763AE" w:rsidRDefault="004F7F6A" w:rsidP="006F6860">
            <w:pPr>
              <w:spacing w:line="240" w:lineRule="auto"/>
              <w:rPr>
                <w:rFonts w:cs="Times New Roman"/>
                <w:sz w:val="18"/>
                <w:szCs w:val="18"/>
              </w:rPr>
            </w:pPr>
            <w:r w:rsidRPr="001763AE">
              <w:rPr>
                <w:rFonts w:cs="Times New Roman"/>
                <w:sz w:val="18"/>
                <w:szCs w:val="18"/>
              </w:rPr>
              <w:t>0</w:t>
            </w:r>
          </w:p>
        </w:tc>
        <w:tc>
          <w:tcPr>
            <w:tcW w:w="689" w:type="pct"/>
          </w:tcPr>
          <w:p w:rsidR="004F7F6A" w:rsidRPr="001763AE" w:rsidRDefault="004F7F6A" w:rsidP="006F6860">
            <w:pPr>
              <w:spacing w:line="240" w:lineRule="auto"/>
              <w:rPr>
                <w:rFonts w:cs="Times New Roman"/>
                <w:sz w:val="18"/>
                <w:szCs w:val="18"/>
              </w:rPr>
            </w:pPr>
            <w:r w:rsidRPr="001763AE">
              <w:rPr>
                <w:rFonts w:cs="Times New Roman"/>
                <w:sz w:val="18"/>
                <w:szCs w:val="18"/>
              </w:rPr>
              <w:t>11 by Dec 2011</w:t>
            </w:r>
            <w:r w:rsidR="006E6ED1">
              <w:rPr>
                <w:rFonts w:cs="Times New Roman"/>
                <w:sz w:val="18"/>
                <w:szCs w:val="18"/>
              </w:rPr>
              <w:t>.</w:t>
            </w:r>
          </w:p>
        </w:tc>
        <w:tc>
          <w:tcPr>
            <w:tcW w:w="717" w:type="pct"/>
          </w:tcPr>
          <w:p w:rsidR="00427F20" w:rsidRPr="001763AE" w:rsidRDefault="00410B73" w:rsidP="006F6860">
            <w:pPr>
              <w:spacing w:line="240" w:lineRule="auto"/>
              <w:rPr>
                <w:rFonts w:cs="Times New Roman"/>
                <w:sz w:val="18"/>
                <w:szCs w:val="18"/>
              </w:rPr>
            </w:pPr>
            <w:r w:rsidRPr="001763AE">
              <w:rPr>
                <w:rFonts w:cs="Times New Roman"/>
                <w:sz w:val="18"/>
                <w:szCs w:val="18"/>
              </w:rPr>
              <w:t>‘Champion PA Finance Leaders’ not defined</w:t>
            </w:r>
            <w:r w:rsidR="00427F20" w:rsidRPr="001763AE">
              <w:rPr>
                <w:rFonts w:cs="Times New Roman"/>
                <w:sz w:val="18"/>
                <w:szCs w:val="18"/>
              </w:rPr>
              <w:t>.</w:t>
            </w:r>
          </w:p>
          <w:p w:rsidR="004F7F6A" w:rsidRPr="001763AE" w:rsidRDefault="004F7F6A" w:rsidP="006F6860">
            <w:pPr>
              <w:spacing w:line="240" w:lineRule="auto"/>
              <w:rPr>
                <w:rFonts w:cs="Times New Roman"/>
                <w:sz w:val="18"/>
                <w:szCs w:val="18"/>
              </w:rPr>
            </w:pPr>
            <w:r w:rsidRPr="001763AE">
              <w:rPr>
                <w:rFonts w:cs="Times New Roman"/>
                <w:sz w:val="18"/>
                <w:szCs w:val="18"/>
              </w:rPr>
              <w:t xml:space="preserve">At least 12 personnel considered </w:t>
            </w:r>
            <w:r w:rsidR="00D6453E" w:rsidRPr="001763AE">
              <w:rPr>
                <w:rFonts w:cs="Times New Roman"/>
                <w:sz w:val="18"/>
                <w:szCs w:val="18"/>
              </w:rPr>
              <w:t>to be</w:t>
            </w:r>
            <w:r w:rsidRPr="001763AE">
              <w:rPr>
                <w:rFonts w:cs="Times New Roman"/>
                <w:sz w:val="18"/>
                <w:szCs w:val="18"/>
              </w:rPr>
              <w:t xml:space="preserve"> highly competent in use of the tools and m</w:t>
            </w:r>
            <w:r w:rsidR="006E6ED1">
              <w:rPr>
                <w:rFonts w:cs="Times New Roman"/>
                <w:sz w:val="18"/>
                <w:szCs w:val="18"/>
              </w:rPr>
              <w:t>ethods developed by the project.</w:t>
            </w:r>
          </w:p>
        </w:tc>
        <w:tc>
          <w:tcPr>
            <w:tcW w:w="475" w:type="pct"/>
            <w:vAlign w:val="center"/>
          </w:tcPr>
          <w:p w:rsidR="004F7F6A" w:rsidRPr="001763AE" w:rsidRDefault="004F7F6A" w:rsidP="006F6860">
            <w:pPr>
              <w:spacing w:line="240" w:lineRule="auto"/>
              <w:jc w:val="center"/>
              <w:rPr>
                <w:rFonts w:cs="Times New Roman"/>
                <w:b/>
                <w:sz w:val="18"/>
                <w:szCs w:val="18"/>
              </w:rPr>
            </w:pPr>
            <w:r w:rsidRPr="001763AE">
              <w:rPr>
                <w:rFonts w:cs="Times New Roman"/>
                <w:b/>
                <w:sz w:val="18"/>
                <w:szCs w:val="18"/>
              </w:rPr>
              <w:t>S</w:t>
            </w:r>
          </w:p>
        </w:tc>
        <w:tc>
          <w:tcPr>
            <w:tcW w:w="430" w:type="pct"/>
            <w:vMerge/>
          </w:tcPr>
          <w:p w:rsidR="004F7F6A" w:rsidRPr="001763AE" w:rsidRDefault="004F7F6A" w:rsidP="006F6860">
            <w:pPr>
              <w:spacing w:line="240" w:lineRule="auto"/>
              <w:jc w:val="center"/>
              <w:rPr>
                <w:rFonts w:cs="Times New Roman"/>
                <w:b/>
                <w:sz w:val="18"/>
                <w:szCs w:val="18"/>
              </w:rPr>
            </w:pPr>
          </w:p>
        </w:tc>
      </w:tr>
      <w:tr w:rsidR="004F7F6A" w:rsidRPr="001763AE" w:rsidTr="006F6860">
        <w:tc>
          <w:tcPr>
            <w:tcW w:w="1111" w:type="pct"/>
          </w:tcPr>
          <w:p w:rsidR="004F7F6A" w:rsidRPr="001763AE" w:rsidRDefault="004F7F6A" w:rsidP="006F6860">
            <w:pPr>
              <w:spacing w:line="240" w:lineRule="auto"/>
              <w:rPr>
                <w:rFonts w:cs="Times New Roman"/>
                <w:sz w:val="18"/>
                <w:szCs w:val="18"/>
              </w:rPr>
            </w:pPr>
            <w:r w:rsidRPr="001763AE">
              <w:rPr>
                <w:rFonts w:cs="Times New Roman"/>
                <w:sz w:val="18"/>
                <w:szCs w:val="18"/>
              </w:rPr>
              <w:t>2</w:t>
            </w:r>
            <w:r w:rsidR="007C63A9" w:rsidRPr="001763AE">
              <w:rPr>
                <w:rFonts w:cs="Times New Roman"/>
                <w:sz w:val="18"/>
                <w:szCs w:val="18"/>
              </w:rPr>
              <w:t>.2</w:t>
            </w:r>
            <w:r w:rsidRPr="001763AE">
              <w:rPr>
                <w:rFonts w:cs="Times New Roman"/>
                <w:sz w:val="18"/>
                <w:szCs w:val="18"/>
              </w:rPr>
              <w:t>: A National Association of the Legal Entities Administrating the</w:t>
            </w:r>
          </w:p>
          <w:p w:rsidR="004F7F6A" w:rsidRPr="001763AE" w:rsidRDefault="006E6ED1" w:rsidP="006F6860">
            <w:pPr>
              <w:spacing w:line="240" w:lineRule="auto"/>
              <w:rPr>
                <w:rFonts w:cs="Times New Roman"/>
                <w:sz w:val="18"/>
                <w:szCs w:val="18"/>
              </w:rPr>
            </w:pPr>
            <w:r>
              <w:rPr>
                <w:rFonts w:cs="Times New Roman"/>
                <w:sz w:val="18"/>
                <w:szCs w:val="18"/>
              </w:rPr>
              <w:t>Protected Areas established.</w:t>
            </w:r>
          </w:p>
        </w:tc>
        <w:tc>
          <w:tcPr>
            <w:tcW w:w="1110" w:type="pct"/>
          </w:tcPr>
          <w:p w:rsidR="004F7F6A" w:rsidRPr="001763AE" w:rsidRDefault="004F7F6A" w:rsidP="006F6860">
            <w:pPr>
              <w:spacing w:line="240" w:lineRule="auto"/>
              <w:rPr>
                <w:rFonts w:cs="Times New Roman"/>
                <w:sz w:val="18"/>
                <w:szCs w:val="18"/>
              </w:rPr>
            </w:pPr>
            <w:r w:rsidRPr="001763AE">
              <w:rPr>
                <w:rFonts w:cs="Times New Roman"/>
                <w:sz w:val="18"/>
                <w:szCs w:val="18"/>
              </w:rPr>
              <w:t>A Carpathian’s Association of PA Managers</w:t>
            </w:r>
            <w:r w:rsidR="006E6ED1">
              <w:rPr>
                <w:rFonts w:cs="Times New Roman"/>
                <w:sz w:val="18"/>
                <w:szCs w:val="18"/>
              </w:rPr>
              <w:t>.</w:t>
            </w:r>
          </w:p>
        </w:tc>
        <w:tc>
          <w:tcPr>
            <w:tcW w:w="469" w:type="pct"/>
          </w:tcPr>
          <w:p w:rsidR="004F7F6A" w:rsidRPr="001763AE" w:rsidRDefault="004F7F6A" w:rsidP="006F6860">
            <w:pPr>
              <w:spacing w:line="240" w:lineRule="auto"/>
              <w:rPr>
                <w:rFonts w:cs="Times New Roman"/>
                <w:sz w:val="18"/>
                <w:szCs w:val="18"/>
              </w:rPr>
            </w:pPr>
            <w:r w:rsidRPr="001763AE">
              <w:rPr>
                <w:rFonts w:cs="Times New Roman"/>
                <w:sz w:val="18"/>
                <w:szCs w:val="18"/>
              </w:rPr>
              <w:t>0</w:t>
            </w:r>
          </w:p>
        </w:tc>
        <w:tc>
          <w:tcPr>
            <w:tcW w:w="689" w:type="pct"/>
          </w:tcPr>
          <w:p w:rsidR="004F7F6A" w:rsidRPr="001763AE" w:rsidRDefault="004F7F6A" w:rsidP="006F6860">
            <w:pPr>
              <w:spacing w:line="240" w:lineRule="auto"/>
              <w:rPr>
                <w:rFonts w:cs="Times New Roman"/>
                <w:sz w:val="18"/>
                <w:szCs w:val="18"/>
              </w:rPr>
            </w:pPr>
            <w:r w:rsidRPr="001763AE">
              <w:rPr>
                <w:rFonts w:cs="Times New Roman"/>
                <w:sz w:val="18"/>
                <w:szCs w:val="18"/>
              </w:rPr>
              <w:t xml:space="preserve">One by </w:t>
            </w:r>
            <w:r w:rsidR="00E2271C" w:rsidRPr="001763AE">
              <w:rPr>
                <w:rFonts w:cs="Times New Roman"/>
                <w:sz w:val="18"/>
                <w:szCs w:val="18"/>
              </w:rPr>
              <w:t>Dec. 2011</w:t>
            </w:r>
            <w:r w:rsidR="006E6ED1">
              <w:rPr>
                <w:rFonts w:cs="Times New Roman"/>
                <w:sz w:val="18"/>
                <w:szCs w:val="18"/>
              </w:rPr>
              <w:t>.</w:t>
            </w:r>
          </w:p>
        </w:tc>
        <w:tc>
          <w:tcPr>
            <w:tcW w:w="717" w:type="pct"/>
          </w:tcPr>
          <w:p w:rsidR="004F7F6A" w:rsidRPr="001763AE" w:rsidRDefault="006E6ED1" w:rsidP="006F6860">
            <w:pPr>
              <w:spacing w:line="240" w:lineRule="auto"/>
              <w:rPr>
                <w:rFonts w:cs="Times New Roman"/>
                <w:sz w:val="18"/>
                <w:szCs w:val="18"/>
              </w:rPr>
            </w:pPr>
            <w:r>
              <w:rPr>
                <w:rFonts w:cs="Times New Roman"/>
                <w:sz w:val="18"/>
                <w:szCs w:val="18"/>
              </w:rPr>
              <w:t>Established.</w:t>
            </w:r>
          </w:p>
        </w:tc>
        <w:tc>
          <w:tcPr>
            <w:tcW w:w="475" w:type="pct"/>
            <w:vAlign w:val="center"/>
          </w:tcPr>
          <w:p w:rsidR="004F7F6A" w:rsidRPr="001763AE" w:rsidRDefault="004F7F6A" w:rsidP="006F6860">
            <w:pPr>
              <w:spacing w:line="240" w:lineRule="auto"/>
              <w:jc w:val="center"/>
              <w:rPr>
                <w:rFonts w:cs="Times New Roman"/>
                <w:b/>
                <w:sz w:val="18"/>
                <w:szCs w:val="18"/>
              </w:rPr>
            </w:pPr>
            <w:r w:rsidRPr="001763AE">
              <w:rPr>
                <w:rFonts w:cs="Times New Roman"/>
                <w:b/>
                <w:sz w:val="18"/>
                <w:szCs w:val="18"/>
              </w:rPr>
              <w:t>HS</w:t>
            </w:r>
          </w:p>
        </w:tc>
        <w:tc>
          <w:tcPr>
            <w:tcW w:w="430" w:type="pct"/>
            <w:vAlign w:val="center"/>
          </w:tcPr>
          <w:p w:rsidR="004F7F6A" w:rsidRPr="001763AE" w:rsidRDefault="004F7F6A" w:rsidP="006F6860">
            <w:pPr>
              <w:spacing w:line="240" w:lineRule="auto"/>
              <w:jc w:val="center"/>
              <w:rPr>
                <w:rFonts w:cs="Times New Roman"/>
                <w:b/>
                <w:sz w:val="18"/>
                <w:szCs w:val="18"/>
              </w:rPr>
            </w:pPr>
            <w:r w:rsidRPr="001763AE">
              <w:rPr>
                <w:rFonts w:cs="Times New Roman"/>
                <w:b/>
                <w:sz w:val="18"/>
                <w:szCs w:val="18"/>
              </w:rPr>
              <w:t>HS</w:t>
            </w:r>
          </w:p>
        </w:tc>
      </w:tr>
      <w:tr w:rsidR="004F7F6A" w:rsidRPr="001763AE" w:rsidTr="006F6860">
        <w:tc>
          <w:tcPr>
            <w:tcW w:w="1111" w:type="pct"/>
            <w:vMerge w:val="restart"/>
          </w:tcPr>
          <w:p w:rsidR="004F7F6A" w:rsidRPr="001763AE" w:rsidRDefault="004F7F6A" w:rsidP="006F6860">
            <w:pPr>
              <w:spacing w:line="240" w:lineRule="auto"/>
              <w:rPr>
                <w:rFonts w:cs="Times New Roman"/>
                <w:sz w:val="18"/>
                <w:szCs w:val="18"/>
              </w:rPr>
            </w:pPr>
            <w:r w:rsidRPr="001763AE">
              <w:rPr>
                <w:rFonts w:cs="Times New Roman"/>
                <w:sz w:val="18"/>
                <w:szCs w:val="18"/>
              </w:rPr>
              <w:t>2</w:t>
            </w:r>
            <w:r w:rsidR="006C3433" w:rsidRPr="001763AE">
              <w:rPr>
                <w:rFonts w:cs="Times New Roman"/>
                <w:sz w:val="18"/>
                <w:szCs w:val="18"/>
              </w:rPr>
              <w:t>.3</w:t>
            </w:r>
            <w:r w:rsidRPr="001763AE">
              <w:rPr>
                <w:rFonts w:cs="Times New Roman"/>
                <w:sz w:val="18"/>
                <w:szCs w:val="18"/>
              </w:rPr>
              <w:t>: Improved information management linking PA management plans (program</w:t>
            </w:r>
            <w:r w:rsidR="006F6860" w:rsidRPr="001763AE">
              <w:rPr>
                <w:rFonts w:cs="Times New Roman"/>
                <w:sz w:val="18"/>
                <w:szCs w:val="18"/>
              </w:rPr>
              <w:t>me</w:t>
            </w:r>
            <w:r w:rsidRPr="001763AE">
              <w:rPr>
                <w:rFonts w:cs="Times New Roman"/>
                <w:sz w:val="18"/>
                <w:szCs w:val="18"/>
              </w:rPr>
              <w:t>s and activities) with financial management/accounting system</w:t>
            </w:r>
            <w:r w:rsidR="006E6ED1">
              <w:rPr>
                <w:rFonts w:cs="Times New Roman"/>
                <w:sz w:val="18"/>
                <w:szCs w:val="18"/>
              </w:rPr>
              <w:t>.</w:t>
            </w:r>
          </w:p>
        </w:tc>
        <w:tc>
          <w:tcPr>
            <w:tcW w:w="1110" w:type="pct"/>
          </w:tcPr>
          <w:p w:rsidR="004F7F6A" w:rsidRPr="001763AE" w:rsidRDefault="004F7F6A" w:rsidP="006F6860">
            <w:pPr>
              <w:spacing w:line="240" w:lineRule="auto"/>
              <w:rPr>
                <w:rFonts w:cs="Times New Roman"/>
                <w:sz w:val="18"/>
                <w:szCs w:val="18"/>
              </w:rPr>
            </w:pPr>
            <w:r w:rsidRPr="001763AE">
              <w:rPr>
                <w:rFonts w:cs="Times New Roman"/>
                <w:sz w:val="18"/>
                <w:szCs w:val="18"/>
              </w:rPr>
              <w:t>PAs conservation targets linked to programmes and activities through a</w:t>
            </w:r>
            <w:r w:rsidR="006E16CE" w:rsidRPr="001763AE">
              <w:rPr>
                <w:rFonts w:cs="Times New Roman"/>
                <w:sz w:val="18"/>
                <w:szCs w:val="18"/>
              </w:rPr>
              <w:t xml:space="preserve"> </w:t>
            </w:r>
            <w:r w:rsidRPr="001763AE">
              <w:rPr>
                <w:rFonts w:cs="Times New Roman"/>
                <w:sz w:val="18"/>
                <w:szCs w:val="18"/>
              </w:rPr>
              <w:t>functioning financial management system (FMS)</w:t>
            </w:r>
            <w:r w:rsidR="006E6ED1">
              <w:rPr>
                <w:rFonts w:cs="Times New Roman"/>
                <w:sz w:val="18"/>
                <w:szCs w:val="18"/>
              </w:rPr>
              <w:t>.</w:t>
            </w:r>
          </w:p>
        </w:tc>
        <w:tc>
          <w:tcPr>
            <w:tcW w:w="469" w:type="pct"/>
          </w:tcPr>
          <w:p w:rsidR="004F7F6A" w:rsidRPr="001763AE" w:rsidRDefault="004F7F6A" w:rsidP="006F6860">
            <w:pPr>
              <w:spacing w:line="240" w:lineRule="auto"/>
              <w:rPr>
                <w:rFonts w:cs="Times New Roman"/>
                <w:sz w:val="18"/>
                <w:szCs w:val="18"/>
              </w:rPr>
            </w:pPr>
            <w:r w:rsidRPr="001763AE">
              <w:rPr>
                <w:rFonts w:cs="Times New Roman"/>
                <w:sz w:val="18"/>
                <w:szCs w:val="18"/>
              </w:rPr>
              <w:t>No</w:t>
            </w:r>
          </w:p>
        </w:tc>
        <w:tc>
          <w:tcPr>
            <w:tcW w:w="689" w:type="pct"/>
          </w:tcPr>
          <w:p w:rsidR="004F7F6A" w:rsidRPr="001763AE" w:rsidRDefault="004F7F6A" w:rsidP="006F6860">
            <w:pPr>
              <w:spacing w:line="240" w:lineRule="auto"/>
              <w:rPr>
                <w:rFonts w:cs="Times New Roman"/>
                <w:sz w:val="18"/>
                <w:szCs w:val="18"/>
              </w:rPr>
            </w:pPr>
            <w:r w:rsidRPr="001763AE">
              <w:rPr>
                <w:rFonts w:cs="Times New Roman"/>
                <w:sz w:val="18"/>
                <w:szCs w:val="18"/>
              </w:rPr>
              <w:t>Yes (By Dec 2010)</w:t>
            </w:r>
            <w:r w:rsidR="006E6ED1">
              <w:rPr>
                <w:rFonts w:cs="Times New Roman"/>
                <w:sz w:val="18"/>
                <w:szCs w:val="18"/>
              </w:rPr>
              <w:t>.</w:t>
            </w:r>
          </w:p>
        </w:tc>
        <w:tc>
          <w:tcPr>
            <w:tcW w:w="717" w:type="pct"/>
          </w:tcPr>
          <w:p w:rsidR="004F7F6A" w:rsidRPr="001763AE" w:rsidRDefault="006E6ED1" w:rsidP="006F6860">
            <w:pPr>
              <w:spacing w:line="240" w:lineRule="auto"/>
              <w:rPr>
                <w:rFonts w:cs="Times New Roman"/>
                <w:sz w:val="18"/>
                <w:szCs w:val="18"/>
              </w:rPr>
            </w:pPr>
            <w:r>
              <w:rPr>
                <w:rFonts w:cs="Times New Roman"/>
                <w:sz w:val="18"/>
                <w:szCs w:val="18"/>
              </w:rPr>
              <w:t>Yes.</w:t>
            </w:r>
          </w:p>
        </w:tc>
        <w:tc>
          <w:tcPr>
            <w:tcW w:w="475" w:type="pct"/>
            <w:vAlign w:val="center"/>
          </w:tcPr>
          <w:p w:rsidR="004F7F6A" w:rsidRPr="001763AE" w:rsidRDefault="004F7F6A" w:rsidP="006F6860">
            <w:pPr>
              <w:spacing w:line="240" w:lineRule="auto"/>
              <w:jc w:val="center"/>
              <w:rPr>
                <w:rFonts w:cs="Times New Roman"/>
                <w:b/>
                <w:sz w:val="18"/>
                <w:szCs w:val="18"/>
              </w:rPr>
            </w:pPr>
            <w:r w:rsidRPr="001763AE">
              <w:rPr>
                <w:rFonts w:cs="Times New Roman"/>
                <w:b/>
                <w:sz w:val="18"/>
                <w:szCs w:val="18"/>
              </w:rPr>
              <w:t>HS</w:t>
            </w:r>
          </w:p>
        </w:tc>
        <w:tc>
          <w:tcPr>
            <w:tcW w:w="430" w:type="pct"/>
            <w:vMerge w:val="restart"/>
            <w:vAlign w:val="center"/>
          </w:tcPr>
          <w:p w:rsidR="004F7F6A" w:rsidRPr="001763AE" w:rsidRDefault="006F6860" w:rsidP="006F6860">
            <w:pPr>
              <w:spacing w:line="240" w:lineRule="auto"/>
              <w:jc w:val="center"/>
              <w:rPr>
                <w:rFonts w:cs="Times New Roman"/>
                <w:b/>
                <w:sz w:val="18"/>
                <w:szCs w:val="18"/>
              </w:rPr>
            </w:pPr>
            <w:r w:rsidRPr="001763AE">
              <w:rPr>
                <w:rFonts w:cs="Times New Roman"/>
                <w:b/>
                <w:sz w:val="18"/>
                <w:szCs w:val="18"/>
              </w:rPr>
              <w:t>H</w:t>
            </w:r>
            <w:r w:rsidR="004F7F6A" w:rsidRPr="001763AE">
              <w:rPr>
                <w:rFonts w:cs="Times New Roman"/>
                <w:b/>
                <w:sz w:val="18"/>
                <w:szCs w:val="18"/>
              </w:rPr>
              <w:t>S</w:t>
            </w:r>
          </w:p>
        </w:tc>
      </w:tr>
      <w:tr w:rsidR="004F7F6A" w:rsidRPr="001763AE" w:rsidTr="006F6860">
        <w:tc>
          <w:tcPr>
            <w:tcW w:w="1111" w:type="pct"/>
            <w:vMerge/>
          </w:tcPr>
          <w:p w:rsidR="004F7F6A" w:rsidRPr="001763AE" w:rsidRDefault="004F7F6A" w:rsidP="006F6860">
            <w:pPr>
              <w:spacing w:line="240" w:lineRule="auto"/>
              <w:rPr>
                <w:rFonts w:cs="Times New Roman"/>
                <w:sz w:val="18"/>
                <w:szCs w:val="18"/>
              </w:rPr>
            </w:pPr>
          </w:p>
        </w:tc>
        <w:tc>
          <w:tcPr>
            <w:tcW w:w="1110" w:type="pct"/>
          </w:tcPr>
          <w:p w:rsidR="004F7F6A" w:rsidRPr="001763AE" w:rsidRDefault="004F7F6A" w:rsidP="006F6860">
            <w:pPr>
              <w:spacing w:line="240" w:lineRule="auto"/>
              <w:rPr>
                <w:rFonts w:cs="Times New Roman"/>
                <w:sz w:val="18"/>
                <w:szCs w:val="18"/>
              </w:rPr>
            </w:pPr>
            <w:r w:rsidRPr="001763AE">
              <w:rPr>
                <w:rFonts w:cs="Times New Roman"/>
                <w:sz w:val="18"/>
                <w:szCs w:val="18"/>
              </w:rPr>
              <w:t>Metrics link conservation goals with costs</w:t>
            </w:r>
            <w:r w:rsidR="00427F20" w:rsidRPr="001763AE">
              <w:rPr>
                <w:rFonts w:cs="Times New Roman"/>
                <w:sz w:val="18"/>
                <w:szCs w:val="18"/>
              </w:rPr>
              <w:t xml:space="preserve">. </w:t>
            </w:r>
          </w:p>
        </w:tc>
        <w:tc>
          <w:tcPr>
            <w:tcW w:w="469" w:type="pct"/>
          </w:tcPr>
          <w:p w:rsidR="004F7F6A" w:rsidRPr="001763AE" w:rsidRDefault="004F7F6A" w:rsidP="006F6860">
            <w:pPr>
              <w:spacing w:line="240" w:lineRule="auto"/>
              <w:rPr>
                <w:rFonts w:cs="Times New Roman"/>
                <w:sz w:val="18"/>
                <w:szCs w:val="18"/>
              </w:rPr>
            </w:pPr>
          </w:p>
        </w:tc>
        <w:tc>
          <w:tcPr>
            <w:tcW w:w="689" w:type="pct"/>
          </w:tcPr>
          <w:p w:rsidR="004F7F6A" w:rsidRPr="001763AE" w:rsidRDefault="004F7F6A" w:rsidP="006F6860">
            <w:pPr>
              <w:spacing w:line="240" w:lineRule="auto"/>
              <w:rPr>
                <w:rFonts w:cs="Times New Roman"/>
                <w:sz w:val="18"/>
                <w:szCs w:val="18"/>
              </w:rPr>
            </w:pPr>
          </w:p>
        </w:tc>
        <w:tc>
          <w:tcPr>
            <w:tcW w:w="717" w:type="pct"/>
          </w:tcPr>
          <w:p w:rsidR="004F7F6A" w:rsidRPr="001763AE" w:rsidRDefault="006E6ED1" w:rsidP="006F6860">
            <w:pPr>
              <w:spacing w:line="240" w:lineRule="auto"/>
              <w:rPr>
                <w:rFonts w:cs="Times New Roman"/>
                <w:sz w:val="18"/>
                <w:szCs w:val="18"/>
              </w:rPr>
            </w:pPr>
            <w:r>
              <w:rPr>
                <w:rFonts w:cs="Times New Roman"/>
                <w:sz w:val="18"/>
                <w:szCs w:val="18"/>
              </w:rPr>
              <w:t>Yes.</w:t>
            </w:r>
          </w:p>
        </w:tc>
        <w:tc>
          <w:tcPr>
            <w:tcW w:w="475" w:type="pct"/>
            <w:vAlign w:val="center"/>
          </w:tcPr>
          <w:p w:rsidR="004F7F6A" w:rsidRPr="001763AE" w:rsidRDefault="004F7F6A" w:rsidP="006F6860">
            <w:pPr>
              <w:spacing w:line="240" w:lineRule="auto"/>
              <w:jc w:val="center"/>
              <w:rPr>
                <w:rFonts w:cs="Times New Roman"/>
                <w:b/>
                <w:sz w:val="18"/>
                <w:szCs w:val="18"/>
              </w:rPr>
            </w:pPr>
            <w:r w:rsidRPr="001763AE">
              <w:rPr>
                <w:rFonts w:cs="Times New Roman"/>
                <w:b/>
                <w:sz w:val="18"/>
                <w:szCs w:val="18"/>
              </w:rPr>
              <w:t>HS</w:t>
            </w:r>
          </w:p>
        </w:tc>
        <w:tc>
          <w:tcPr>
            <w:tcW w:w="430" w:type="pct"/>
            <w:vMerge/>
          </w:tcPr>
          <w:p w:rsidR="004F7F6A" w:rsidRPr="001763AE" w:rsidRDefault="004F7F6A" w:rsidP="006F6860">
            <w:pPr>
              <w:spacing w:line="240" w:lineRule="auto"/>
              <w:jc w:val="center"/>
              <w:rPr>
                <w:rFonts w:cs="Times New Roman"/>
                <w:b/>
                <w:sz w:val="18"/>
                <w:szCs w:val="18"/>
              </w:rPr>
            </w:pPr>
          </w:p>
        </w:tc>
      </w:tr>
      <w:tr w:rsidR="004F7F6A" w:rsidRPr="001763AE" w:rsidTr="006F6860">
        <w:tc>
          <w:tcPr>
            <w:tcW w:w="1111" w:type="pct"/>
            <w:vMerge/>
          </w:tcPr>
          <w:p w:rsidR="004F7F6A" w:rsidRPr="001763AE" w:rsidRDefault="004F7F6A" w:rsidP="006F6860">
            <w:pPr>
              <w:widowControl w:val="0"/>
              <w:autoSpaceDE w:val="0"/>
              <w:autoSpaceDN w:val="0"/>
              <w:adjustRightInd w:val="0"/>
              <w:spacing w:line="240" w:lineRule="auto"/>
              <w:rPr>
                <w:rFonts w:cs="Times New Roman"/>
                <w:sz w:val="18"/>
                <w:szCs w:val="18"/>
              </w:rPr>
            </w:pPr>
          </w:p>
        </w:tc>
        <w:tc>
          <w:tcPr>
            <w:tcW w:w="1110" w:type="pct"/>
          </w:tcPr>
          <w:p w:rsidR="004F7F6A" w:rsidRPr="001763AE" w:rsidRDefault="004F7F6A" w:rsidP="006F6860">
            <w:pPr>
              <w:widowControl w:val="0"/>
              <w:autoSpaceDE w:val="0"/>
              <w:autoSpaceDN w:val="0"/>
              <w:adjustRightInd w:val="0"/>
              <w:spacing w:line="240" w:lineRule="auto"/>
              <w:rPr>
                <w:rFonts w:cs="Times New Roman"/>
                <w:sz w:val="18"/>
                <w:szCs w:val="18"/>
              </w:rPr>
            </w:pPr>
            <w:r w:rsidRPr="001763AE">
              <w:rPr>
                <w:rFonts w:cs="Times New Roman"/>
                <w:sz w:val="18"/>
                <w:szCs w:val="18"/>
              </w:rPr>
              <w:t>Traceable expenses, costs, needs and gaps by program</w:t>
            </w:r>
            <w:r w:rsidR="006E6ED1">
              <w:rPr>
                <w:rFonts w:cs="Times New Roman"/>
                <w:sz w:val="18"/>
                <w:szCs w:val="18"/>
              </w:rPr>
              <w:t>me.</w:t>
            </w:r>
          </w:p>
        </w:tc>
        <w:tc>
          <w:tcPr>
            <w:tcW w:w="469" w:type="pct"/>
          </w:tcPr>
          <w:p w:rsidR="004F7F6A" w:rsidRPr="001763AE" w:rsidRDefault="004F7F6A" w:rsidP="006F6860">
            <w:pPr>
              <w:spacing w:line="240" w:lineRule="auto"/>
              <w:rPr>
                <w:rFonts w:cs="Times New Roman"/>
                <w:sz w:val="18"/>
                <w:szCs w:val="18"/>
              </w:rPr>
            </w:pPr>
          </w:p>
        </w:tc>
        <w:tc>
          <w:tcPr>
            <w:tcW w:w="689" w:type="pct"/>
          </w:tcPr>
          <w:p w:rsidR="004F7F6A" w:rsidRPr="001763AE" w:rsidRDefault="004F7F6A" w:rsidP="006F6860">
            <w:pPr>
              <w:spacing w:line="240" w:lineRule="auto"/>
              <w:rPr>
                <w:rFonts w:cs="Times New Roman"/>
                <w:sz w:val="18"/>
                <w:szCs w:val="18"/>
              </w:rPr>
            </w:pPr>
          </w:p>
        </w:tc>
        <w:tc>
          <w:tcPr>
            <w:tcW w:w="717" w:type="pct"/>
          </w:tcPr>
          <w:p w:rsidR="004F7F6A" w:rsidRPr="001763AE" w:rsidRDefault="006E6ED1" w:rsidP="006F6860">
            <w:pPr>
              <w:spacing w:line="240" w:lineRule="auto"/>
              <w:rPr>
                <w:rFonts w:cs="Times New Roman"/>
                <w:sz w:val="18"/>
                <w:szCs w:val="18"/>
              </w:rPr>
            </w:pPr>
            <w:r>
              <w:rPr>
                <w:rFonts w:cs="Times New Roman"/>
                <w:sz w:val="18"/>
                <w:szCs w:val="18"/>
              </w:rPr>
              <w:t>Yes.</w:t>
            </w:r>
          </w:p>
        </w:tc>
        <w:tc>
          <w:tcPr>
            <w:tcW w:w="475" w:type="pct"/>
            <w:vAlign w:val="center"/>
          </w:tcPr>
          <w:p w:rsidR="004F7F6A" w:rsidRPr="001763AE" w:rsidRDefault="004F7F6A" w:rsidP="006F6860">
            <w:pPr>
              <w:spacing w:line="240" w:lineRule="auto"/>
              <w:jc w:val="center"/>
              <w:rPr>
                <w:rFonts w:cs="Times New Roman"/>
                <w:b/>
                <w:sz w:val="18"/>
                <w:szCs w:val="18"/>
              </w:rPr>
            </w:pPr>
            <w:r w:rsidRPr="001763AE">
              <w:rPr>
                <w:rFonts w:cs="Times New Roman"/>
                <w:b/>
                <w:sz w:val="18"/>
                <w:szCs w:val="18"/>
              </w:rPr>
              <w:t>S</w:t>
            </w:r>
          </w:p>
        </w:tc>
        <w:tc>
          <w:tcPr>
            <w:tcW w:w="430" w:type="pct"/>
            <w:vMerge/>
          </w:tcPr>
          <w:p w:rsidR="004F7F6A" w:rsidRPr="001763AE" w:rsidRDefault="004F7F6A" w:rsidP="006F6860">
            <w:pPr>
              <w:spacing w:line="240" w:lineRule="auto"/>
              <w:jc w:val="center"/>
              <w:rPr>
                <w:rFonts w:cs="Times New Roman"/>
                <w:b/>
                <w:sz w:val="18"/>
                <w:szCs w:val="18"/>
              </w:rPr>
            </w:pPr>
          </w:p>
        </w:tc>
      </w:tr>
      <w:tr w:rsidR="004F7F6A" w:rsidRPr="001763AE" w:rsidTr="006F6860">
        <w:tc>
          <w:tcPr>
            <w:tcW w:w="1111" w:type="pct"/>
          </w:tcPr>
          <w:p w:rsidR="004F7F6A" w:rsidRPr="001763AE" w:rsidRDefault="004F7F6A" w:rsidP="006F6860">
            <w:pPr>
              <w:spacing w:line="240" w:lineRule="auto"/>
              <w:rPr>
                <w:rFonts w:cs="Times New Roman"/>
                <w:sz w:val="18"/>
                <w:szCs w:val="18"/>
              </w:rPr>
            </w:pPr>
            <w:r w:rsidRPr="001763AE">
              <w:rPr>
                <w:rFonts w:cs="Times New Roman"/>
                <w:sz w:val="18"/>
                <w:szCs w:val="18"/>
              </w:rPr>
              <w:t>2</w:t>
            </w:r>
            <w:r w:rsidR="006C3433" w:rsidRPr="001763AE">
              <w:rPr>
                <w:rFonts w:cs="Times New Roman"/>
                <w:sz w:val="18"/>
                <w:szCs w:val="18"/>
              </w:rPr>
              <w:t>.4</w:t>
            </w:r>
            <w:r w:rsidRPr="001763AE">
              <w:rPr>
                <w:rFonts w:cs="Times New Roman"/>
                <w:sz w:val="18"/>
                <w:szCs w:val="18"/>
              </w:rPr>
              <w:t>: Removed</w:t>
            </w:r>
          </w:p>
        </w:tc>
        <w:tc>
          <w:tcPr>
            <w:tcW w:w="1110" w:type="pct"/>
          </w:tcPr>
          <w:p w:rsidR="004F7F6A" w:rsidRPr="001763AE" w:rsidRDefault="004F7F6A" w:rsidP="006F6860">
            <w:pPr>
              <w:spacing w:line="240" w:lineRule="auto"/>
              <w:rPr>
                <w:rFonts w:cs="Times New Roman"/>
                <w:sz w:val="18"/>
                <w:szCs w:val="18"/>
              </w:rPr>
            </w:pPr>
            <w:r w:rsidRPr="001763AE">
              <w:rPr>
                <w:rFonts w:cs="Times New Roman"/>
                <w:sz w:val="18"/>
                <w:szCs w:val="18"/>
              </w:rPr>
              <w:t>A PSA Management Committee</w:t>
            </w:r>
            <w:r w:rsidR="006E6ED1">
              <w:rPr>
                <w:rFonts w:cs="Times New Roman"/>
                <w:sz w:val="18"/>
                <w:szCs w:val="18"/>
              </w:rPr>
              <w:t>.</w:t>
            </w:r>
          </w:p>
        </w:tc>
        <w:tc>
          <w:tcPr>
            <w:tcW w:w="469" w:type="pct"/>
          </w:tcPr>
          <w:p w:rsidR="004F7F6A" w:rsidRPr="001763AE" w:rsidRDefault="004F7F6A" w:rsidP="006F6860">
            <w:pPr>
              <w:spacing w:line="240" w:lineRule="auto"/>
              <w:rPr>
                <w:rFonts w:cs="Times New Roman"/>
                <w:sz w:val="18"/>
                <w:szCs w:val="18"/>
              </w:rPr>
            </w:pPr>
          </w:p>
        </w:tc>
        <w:tc>
          <w:tcPr>
            <w:tcW w:w="689" w:type="pct"/>
          </w:tcPr>
          <w:p w:rsidR="004F7F6A" w:rsidRPr="001763AE" w:rsidRDefault="004F7F6A" w:rsidP="006F6860">
            <w:pPr>
              <w:spacing w:line="240" w:lineRule="auto"/>
              <w:rPr>
                <w:rFonts w:cs="Times New Roman"/>
                <w:sz w:val="18"/>
                <w:szCs w:val="18"/>
              </w:rPr>
            </w:pPr>
          </w:p>
        </w:tc>
        <w:tc>
          <w:tcPr>
            <w:tcW w:w="717" w:type="pct"/>
          </w:tcPr>
          <w:p w:rsidR="004F7F6A" w:rsidRPr="001763AE" w:rsidRDefault="004F7F6A" w:rsidP="006F6860">
            <w:pPr>
              <w:spacing w:line="240" w:lineRule="auto"/>
              <w:rPr>
                <w:rFonts w:cs="Times New Roman"/>
                <w:sz w:val="18"/>
                <w:szCs w:val="18"/>
              </w:rPr>
            </w:pPr>
            <w:r w:rsidRPr="001763AE">
              <w:rPr>
                <w:rFonts w:cs="Times New Roman"/>
                <w:sz w:val="18"/>
                <w:szCs w:val="18"/>
              </w:rPr>
              <w:t>n/a</w:t>
            </w:r>
          </w:p>
        </w:tc>
        <w:tc>
          <w:tcPr>
            <w:tcW w:w="475" w:type="pct"/>
            <w:vAlign w:val="center"/>
          </w:tcPr>
          <w:p w:rsidR="004F7F6A" w:rsidRPr="001763AE" w:rsidRDefault="006F770F" w:rsidP="006F6860">
            <w:pPr>
              <w:spacing w:line="240" w:lineRule="auto"/>
              <w:jc w:val="center"/>
              <w:rPr>
                <w:rFonts w:cs="Times New Roman"/>
                <w:b/>
                <w:sz w:val="18"/>
                <w:szCs w:val="18"/>
              </w:rPr>
            </w:pPr>
            <w:r w:rsidRPr="001763AE">
              <w:rPr>
                <w:rFonts w:cs="Times New Roman"/>
                <w:b/>
                <w:sz w:val="18"/>
                <w:szCs w:val="18"/>
              </w:rPr>
              <w:t>Not assessed</w:t>
            </w:r>
          </w:p>
        </w:tc>
        <w:tc>
          <w:tcPr>
            <w:tcW w:w="430" w:type="pct"/>
            <w:vAlign w:val="center"/>
          </w:tcPr>
          <w:p w:rsidR="004F7F6A" w:rsidRPr="001763AE" w:rsidRDefault="006F770F" w:rsidP="006F6860">
            <w:pPr>
              <w:spacing w:line="240" w:lineRule="auto"/>
              <w:jc w:val="center"/>
              <w:rPr>
                <w:rFonts w:cs="Times New Roman"/>
                <w:b/>
                <w:sz w:val="18"/>
                <w:szCs w:val="18"/>
              </w:rPr>
            </w:pPr>
            <w:r w:rsidRPr="001763AE">
              <w:rPr>
                <w:rFonts w:cs="Times New Roman"/>
                <w:b/>
                <w:sz w:val="18"/>
                <w:szCs w:val="18"/>
              </w:rPr>
              <w:t>Not assessed</w:t>
            </w:r>
          </w:p>
        </w:tc>
      </w:tr>
      <w:tr w:rsidR="00294C8C" w:rsidRPr="001763AE" w:rsidTr="006F6860">
        <w:tc>
          <w:tcPr>
            <w:tcW w:w="1111" w:type="pct"/>
          </w:tcPr>
          <w:p w:rsidR="00294C8C" w:rsidRPr="001763AE" w:rsidRDefault="00294C8C" w:rsidP="006F6860">
            <w:pPr>
              <w:spacing w:line="240" w:lineRule="auto"/>
              <w:rPr>
                <w:rFonts w:cs="Times New Roman"/>
                <w:sz w:val="18"/>
                <w:szCs w:val="18"/>
              </w:rPr>
            </w:pPr>
            <w:r w:rsidRPr="001763AE">
              <w:rPr>
                <w:rFonts w:cs="Times New Roman"/>
                <w:sz w:val="18"/>
                <w:szCs w:val="18"/>
              </w:rPr>
              <w:t xml:space="preserve">2.5: Lessons and knowledge documented and transferred to key actors representing PAs </w:t>
            </w:r>
            <w:r w:rsidR="001E662A" w:rsidRPr="001763AE">
              <w:rPr>
                <w:rFonts w:cs="Times New Roman"/>
                <w:sz w:val="18"/>
                <w:szCs w:val="18"/>
              </w:rPr>
              <w:t>from other Carpathian countries</w:t>
            </w:r>
            <w:r w:rsidR="006E6ED1">
              <w:rPr>
                <w:rFonts w:cs="Times New Roman"/>
                <w:sz w:val="18"/>
                <w:szCs w:val="18"/>
              </w:rPr>
              <w:t>.</w:t>
            </w:r>
          </w:p>
        </w:tc>
        <w:tc>
          <w:tcPr>
            <w:tcW w:w="1110" w:type="pct"/>
          </w:tcPr>
          <w:p w:rsidR="00294C8C" w:rsidRPr="001763AE" w:rsidRDefault="00294C8C" w:rsidP="006F6860">
            <w:pPr>
              <w:spacing w:line="240" w:lineRule="auto"/>
              <w:rPr>
                <w:rFonts w:cs="Times New Roman"/>
                <w:sz w:val="18"/>
                <w:szCs w:val="18"/>
              </w:rPr>
            </w:pPr>
            <w:r w:rsidRPr="001763AE">
              <w:rPr>
                <w:rFonts w:eastAsia="Times New Roman"/>
                <w:sz w:val="18"/>
                <w:szCs w:val="18"/>
                <w:lang w:eastAsia="en-GB"/>
              </w:rPr>
              <w:t>At least four workshops organized across the Carpathian region to share experience</w:t>
            </w:r>
            <w:r w:rsidR="006E6ED1">
              <w:rPr>
                <w:rFonts w:eastAsia="Times New Roman"/>
                <w:sz w:val="18"/>
                <w:szCs w:val="18"/>
                <w:lang w:eastAsia="en-GB"/>
              </w:rPr>
              <w:t>.</w:t>
            </w:r>
          </w:p>
        </w:tc>
        <w:tc>
          <w:tcPr>
            <w:tcW w:w="469" w:type="pct"/>
          </w:tcPr>
          <w:p w:rsidR="00294C8C" w:rsidRPr="001763AE" w:rsidRDefault="00294C8C" w:rsidP="006F6860">
            <w:pPr>
              <w:spacing w:line="240" w:lineRule="auto"/>
            </w:pPr>
            <w:r w:rsidRPr="001763AE">
              <w:rPr>
                <w:rFonts w:eastAsia="Times New Roman"/>
                <w:szCs w:val="20"/>
                <w:lang w:eastAsia="en-GB"/>
              </w:rPr>
              <w:t>0</w:t>
            </w:r>
          </w:p>
        </w:tc>
        <w:tc>
          <w:tcPr>
            <w:tcW w:w="689" w:type="pct"/>
          </w:tcPr>
          <w:p w:rsidR="00294C8C" w:rsidRPr="001763AE" w:rsidRDefault="00294C8C" w:rsidP="006F6860">
            <w:pPr>
              <w:spacing w:line="240" w:lineRule="auto"/>
            </w:pPr>
            <w:r w:rsidRPr="001763AE">
              <w:t>4 workshops</w:t>
            </w:r>
            <w:r w:rsidR="006E6ED1">
              <w:t>.</w:t>
            </w:r>
          </w:p>
        </w:tc>
        <w:tc>
          <w:tcPr>
            <w:tcW w:w="717" w:type="pct"/>
          </w:tcPr>
          <w:p w:rsidR="00294C8C" w:rsidRPr="001763AE" w:rsidRDefault="001E662A" w:rsidP="006F6860">
            <w:pPr>
              <w:spacing w:line="240" w:lineRule="auto"/>
              <w:rPr>
                <w:rFonts w:cs="Times New Roman"/>
                <w:sz w:val="18"/>
                <w:szCs w:val="18"/>
              </w:rPr>
            </w:pPr>
            <w:r w:rsidRPr="001763AE">
              <w:rPr>
                <w:rFonts w:cs="Times New Roman"/>
                <w:sz w:val="18"/>
                <w:szCs w:val="18"/>
              </w:rPr>
              <w:t>5 + events</w:t>
            </w:r>
            <w:r w:rsidR="006E6ED1">
              <w:rPr>
                <w:rFonts w:cs="Times New Roman"/>
                <w:sz w:val="18"/>
                <w:szCs w:val="18"/>
              </w:rPr>
              <w:t>.</w:t>
            </w:r>
          </w:p>
        </w:tc>
        <w:tc>
          <w:tcPr>
            <w:tcW w:w="475" w:type="pct"/>
            <w:vAlign w:val="center"/>
          </w:tcPr>
          <w:p w:rsidR="00294C8C" w:rsidRPr="001763AE" w:rsidRDefault="001E662A" w:rsidP="006F6860">
            <w:pPr>
              <w:spacing w:line="240" w:lineRule="auto"/>
              <w:jc w:val="center"/>
              <w:rPr>
                <w:rFonts w:cs="Times New Roman"/>
                <w:b/>
                <w:sz w:val="18"/>
                <w:szCs w:val="18"/>
              </w:rPr>
            </w:pPr>
            <w:r w:rsidRPr="001763AE">
              <w:rPr>
                <w:rFonts w:cs="Times New Roman"/>
                <w:b/>
                <w:sz w:val="18"/>
                <w:szCs w:val="18"/>
              </w:rPr>
              <w:t>S</w:t>
            </w:r>
          </w:p>
        </w:tc>
        <w:tc>
          <w:tcPr>
            <w:tcW w:w="430" w:type="pct"/>
            <w:vAlign w:val="center"/>
          </w:tcPr>
          <w:p w:rsidR="00294C8C" w:rsidRPr="001763AE" w:rsidRDefault="00294C8C" w:rsidP="006F6860">
            <w:pPr>
              <w:spacing w:line="240" w:lineRule="auto"/>
              <w:jc w:val="center"/>
              <w:rPr>
                <w:rFonts w:cs="Times New Roman"/>
                <w:b/>
                <w:sz w:val="18"/>
                <w:szCs w:val="18"/>
              </w:rPr>
            </w:pPr>
            <w:r w:rsidRPr="001763AE">
              <w:rPr>
                <w:rFonts w:cs="Times New Roman"/>
                <w:b/>
                <w:sz w:val="18"/>
                <w:szCs w:val="18"/>
              </w:rPr>
              <w:t>S</w:t>
            </w:r>
          </w:p>
        </w:tc>
      </w:tr>
    </w:tbl>
    <w:p w:rsidR="00D6453E" w:rsidRPr="001763AE" w:rsidRDefault="00D6453E" w:rsidP="00D96BA8"/>
    <w:p w:rsidR="00D6453E" w:rsidRPr="001763AE" w:rsidRDefault="00D6453E" w:rsidP="00D6453E">
      <w:pPr>
        <w:rPr>
          <w:szCs w:val="24"/>
        </w:rPr>
      </w:pPr>
      <w:r w:rsidRPr="001763AE">
        <w:br w:type="page"/>
      </w:r>
    </w:p>
    <w:p w:rsidR="00427F20" w:rsidRPr="001763AE" w:rsidRDefault="002D08B8" w:rsidP="00AE2F56">
      <w:pPr>
        <w:pStyle w:val="Heading5"/>
      </w:pPr>
      <w:r w:rsidRPr="001763AE">
        <w:t>Output 2</w:t>
      </w:r>
      <w:r w:rsidR="007C63A9" w:rsidRPr="001763AE">
        <w:t>.1</w:t>
      </w:r>
      <w:r w:rsidRPr="001763AE">
        <w:t xml:space="preserve"> </w:t>
      </w:r>
      <w:r w:rsidRPr="001763AE">
        <w:tab/>
      </w:r>
      <w:r w:rsidR="00B67104" w:rsidRPr="001763AE">
        <w:t>A critical number of PA finance professionals (</w:t>
      </w:r>
      <w:r w:rsidR="00462874">
        <w:t>m</w:t>
      </w:r>
      <w:r w:rsidR="00B67104" w:rsidRPr="001763AE">
        <w:t xml:space="preserve">inimum 36 staff, 3 from each PA including leading and cluster PAs) </w:t>
      </w:r>
      <w:r w:rsidR="008952B1" w:rsidRPr="001763AE">
        <w:t>train</w:t>
      </w:r>
      <w:r w:rsidR="00B67104" w:rsidRPr="001763AE">
        <w:t>ed</w:t>
      </w:r>
      <w:r w:rsidR="00462874">
        <w:t>)</w:t>
      </w:r>
    </w:p>
    <w:p w:rsidR="00F35720" w:rsidRPr="001763AE" w:rsidRDefault="00F35720" w:rsidP="00F35720">
      <w:pPr>
        <w:pStyle w:val="Heading6"/>
      </w:pPr>
      <w:r w:rsidRPr="001763AE">
        <w:t xml:space="preserve">Indicators: Number of PA staff trained in effective financial management of PAs and </w:t>
      </w:r>
      <w:r w:rsidR="00462874">
        <w:rPr>
          <w:rFonts w:cs="Times New Roman"/>
        </w:rPr>
        <w:t>n</w:t>
      </w:r>
      <w:r w:rsidRPr="001763AE">
        <w:rPr>
          <w:rFonts w:cs="Times New Roman"/>
        </w:rPr>
        <w:t>umber of ‘Champion PA Finance Leaders’</w:t>
      </w:r>
      <w:r w:rsidR="006E16CE" w:rsidRPr="001763AE">
        <w:rPr>
          <w:rFonts w:cs="Times New Roman"/>
        </w:rPr>
        <w:t xml:space="preserve"> </w:t>
      </w:r>
      <w:r w:rsidRPr="001763AE">
        <w:rPr>
          <w:rFonts w:cs="Times New Roman"/>
        </w:rPr>
        <w:t>graduated</w:t>
      </w:r>
    </w:p>
    <w:p w:rsidR="00427F20" w:rsidRPr="001763AE" w:rsidRDefault="000B4056" w:rsidP="00DB28F8">
      <w:pPr>
        <w:pStyle w:val="NumberedPara"/>
        <w:numPr>
          <w:ilvl w:val="0"/>
          <w:numId w:val="0"/>
        </w:numPr>
      </w:pPr>
      <w:r w:rsidRPr="001763AE">
        <w:t>The project conducted an e</w:t>
      </w:r>
      <w:r w:rsidR="00F35720" w:rsidRPr="001763AE">
        <w:t xml:space="preserve">xtensive programme of training aimed at </w:t>
      </w:r>
      <w:r w:rsidR="008300C9" w:rsidRPr="001763AE">
        <w:t xml:space="preserve">building </w:t>
      </w:r>
      <w:r w:rsidR="00F35720" w:rsidRPr="001763AE">
        <w:t>capacities</w:t>
      </w:r>
      <w:r w:rsidRPr="001763AE">
        <w:t xml:space="preserve"> to understand the </w:t>
      </w:r>
      <w:r w:rsidR="00F35720" w:rsidRPr="001763AE">
        <w:t xml:space="preserve">new </w:t>
      </w:r>
      <w:r w:rsidRPr="001763AE">
        <w:t xml:space="preserve">approaches </w:t>
      </w:r>
      <w:r w:rsidR="00F35720" w:rsidRPr="001763AE">
        <w:t xml:space="preserve">adopted by </w:t>
      </w:r>
      <w:r w:rsidRPr="001763AE">
        <w:t xml:space="preserve">the project and to make use of the tools developed (see </w:t>
      </w:r>
      <w:r w:rsidR="00217E75" w:rsidRPr="001763AE">
        <w:fldChar w:fldCharType="begin"/>
      </w:r>
      <w:r w:rsidRPr="001763AE">
        <w:instrText xml:space="preserve"> REF _Ref391551783 \h </w:instrText>
      </w:r>
      <w:r w:rsidR="00217E75" w:rsidRPr="001763AE">
        <w:fldChar w:fldCharType="separate"/>
      </w:r>
      <w:r w:rsidR="00D406FE" w:rsidRPr="001763AE">
        <w:t xml:space="preserve">Table </w:t>
      </w:r>
      <w:r w:rsidR="00D406FE">
        <w:rPr>
          <w:noProof/>
        </w:rPr>
        <w:t>24</w:t>
      </w:r>
      <w:r w:rsidR="00217E75" w:rsidRPr="001763AE">
        <w:fldChar w:fldCharType="end"/>
      </w:r>
      <w:r w:rsidRPr="001763AE">
        <w:t>)</w:t>
      </w:r>
      <w:r w:rsidR="00427F20" w:rsidRPr="001763AE">
        <w:t xml:space="preserve">. </w:t>
      </w:r>
      <w:r w:rsidR="007D39A5" w:rsidRPr="001763AE">
        <w:t>The training events were supplemented by coaching an</w:t>
      </w:r>
      <w:r w:rsidR="00385D8D">
        <w:t xml:space="preserve">d mentoring sessions conducted </w:t>
      </w:r>
      <w:r w:rsidR="007D39A5" w:rsidRPr="001763AE">
        <w:t xml:space="preserve">bilaterally during the financial analysis with each park director and accountant. </w:t>
      </w:r>
      <w:r w:rsidRPr="001763AE">
        <w:t>It would have been preferable if the two indicators had been more specifically defined, determining more precisely in terms of competence, what cons</w:t>
      </w:r>
      <w:r w:rsidR="00631478" w:rsidRPr="001763AE">
        <w:t>titutes a ‘</w:t>
      </w:r>
      <w:r w:rsidR="00631478" w:rsidRPr="00385D8D">
        <w:rPr>
          <w:i/>
        </w:rPr>
        <w:t>trained person’</w:t>
      </w:r>
      <w:r w:rsidR="00631478" w:rsidRPr="001763AE">
        <w:t xml:space="preserve"> or how a </w:t>
      </w:r>
      <w:r w:rsidRPr="001763AE">
        <w:t>‘</w:t>
      </w:r>
      <w:r w:rsidRPr="00385D8D">
        <w:rPr>
          <w:i/>
        </w:rPr>
        <w:t>champion PA finance leader</w:t>
      </w:r>
      <w:r w:rsidRPr="001763AE">
        <w:t xml:space="preserve">’ </w:t>
      </w:r>
      <w:r w:rsidR="00631478" w:rsidRPr="001763AE">
        <w:t>can be judged to have ‘</w:t>
      </w:r>
      <w:r w:rsidR="00631478" w:rsidRPr="00385D8D">
        <w:rPr>
          <w:i/>
        </w:rPr>
        <w:t>graduated</w:t>
      </w:r>
      <w:r w:rsidR="00631478" w:rsidRPr="001763AE">
        <w:t>’</w:t>
      </w:r>
      <w:r w:rsidR="00427F20" w:rsidRPr="001763AE">
        <w:t xml:space="preserve">. </w:t>
      </w:r>
      <w:r w:rsidR="00631478" w:rsidRPr="001763AE">
        <w:t>M</w:t>
      </w:r>
      <w:r w:rsidR="00F35720" w:rsidRPr="001763AE">
        <w:t>aintained</w:t>
      </w:r>
      <w:r w:rsidRPr="001763AE">
        <w:t xml:space="preserve"> training records of individuals </w:t>
      </w:r>
      <w:r w:rsidR="00991091" w:rsidRPr="001763AE">
        <w:t xml:space="preserve">would have </w:t>
      </w:r>
      <w:r w:rsidRPr="001763AE">
        <w:t>facilitate</w:t>
      </w:r>
      <w:r w:rsidR="00991091" w:rsidRPr="001763AE">
        <w:t>d</w:t>
      </w:r>
      <w:r w:rsidRPr="001763AE">
        <w:t xml:space="preserve"> tracking and </w:t>
      </w:r>
      <w:r w:rsidR="00631478" w:rsidRPr="001763AE">
        <w:t xml:space="preserve">eventual </w:t>
      </w:r>
      <w:r w:rsidRPr="001763AE">
        <w:t xml:space="preserve">verification </w:t>
      </w:r>
      <w:r w:rsidR="00991091" w:rsidRPr="001763AE">
        <w:t xml:space="preserve">(and even certification) </w:t>
      </w:r>
      <w:r w:rsidRPr="001763AE">
        <w:t xml:space="preserve">of the progress and competence </w:t>
      </w:r>
      <w:r w:rsidR="00F35720" w:rsidRPr="001763AE">
        <w:t xml:space="preserve">of </w:t>
      </w:r>
      <w:r w:rsidRPr="001763AE">
        <w:t>individuals</w:t>
      </w:r>
      <w:r w:rsidR="00427F20" w:rsidRPr="001763AE">
        <w:t xml:space="preserve">. </w:t>
      </w:r>
      <w:r w:rsidR="00F35720" w:rsidRPr="001763AE">
        <w:t>Never-the-less</w:t>
      </w:r>
      <w:r w:rsidR="00372077" w:rsidRPr="001763AE">
        <w:t>,</w:t>
      </w:r>
      <w:r w:rsidR="00991091" w:rsidRPr="001763AE">
        <w:t xml:space="preserve"> the fact that the F</w:t>
      </w:r>
      <w:r w:rsidR="00EE309F">
        <w:t>inancial M</w:t>
      </w:r>
      <w:r w:rsidR="00385D8D">
        <w:t xml:space="preserve">anagement System </w:t>
      </w:r>
      <w:r w:rsidR="00EE309F">
        <w:t xml:space="preserve">is being used </w:t>
      </w:r>
      <w:r w:rsidR="00991091" w:rsidRPr="001763AE">
        <w:t xml:space="preserve">is an indication that </w:t>
      </w:r>
      <w:r w:rsidRPr="001763AE">
        <w:t xml:space="preserve">the directors and financial specialists of all 22 protected areas </w:t>
      </w:r>
      <w:r w:rsidR="00991091" w:rsidRPr="001763AE">
        <w:t>have developed the</w:t>
      </w:r>
      <w:r w:rsidR="00942A04">
        <w:t xml:space="preserve"> skills and knowledge required. Additionally, </w:t>
      </w:r>
      <w:r w:rsidR="00EE309F">
        <w:t xml:space="preserve">those in the </w:t>
      </w:r>
      <w:r w:rsidRPr="001763AE">
        <w:t>five pilot parks</w:t>
      </w:r>
      <w:r w:rsidR="006E16CE" w:rsidRPr="001763AE">
        <w:t xml:space="preserve"> </w:t>
      </w:r>
      <w:r w:rsidRPr="001763AE">
        <w:t>have a much increased understanding of the principles and practices of accurate budgeting linked to management plans</w:t>
      </w:r>
      <w:r w:rsidR="00F35720" w:rsidRPr="001763AE">
        <w:t>,</w:t>
      </w:r>
      <w:r w:rsidRPr="001763AE">
        <w:t xml:space="preserve"> and </w:t>
      </w:r>
      <w:r w:rsidR="00F35720" w:rsidRPr="001763AE">
        <w:t xml:space="preserve">of </w:t>
      </w:r>
      <w:r w:rsidRPr="001763AE">
        <w:t>detailed monitoring of management activity and associated costs and benefits</w:t>
      </w:r>
      <w:r w:rsidR="00427F20" w:rsidRPr="001763AE">
        <w:t xml:space="preserve">. </w:t>
      </w:r>
      <w:r w:rsidRPr="001763AE">
        <w:t>The directors are using their new competences to good effect</w:t>
      </w:r>
      <w:r w:rsidR="00F35720" w:rsidRPr="001763AE">
        <w:t>,</w:t>
      </w:r>
      <w:r w:rsidRPr="001763AE">
        <w:t xml:space="preserve"> and the head of finance of </w:t>
      </w:r>
      <w:r w:rsidR="00F35720" w:rsidRPr="001763AE">
        <w:t>one of the</w:t>
      </w:r>
      <w:r w:rsidRPr="001763AE">
        <w:t xml:space="preserve"> pilot protected areas has become the focal point and centre of expertise is the development and use of the financial management system</w:t>
      </w:r>
      <w:r w:rsidR="00427F20" w:rsidRPr="001763AE">
        <w:t>.</w:t>
      </w:r>
    </w:p>
    <w:p w:rsidR="00427F20" w:rsidRPr="001763AE" w:rsidRDefault="000B4056" w:rsidP="00DB28F8">
      <w:pPr>
        <w:pStyle w:val="NumberedPara"/>
        <w:numPr>
          <w:ilvl w:val="0"/>
          <w:numId w:val="0"/>
        </w:numPr>
      </w:pPr>
      <w:r w:rsidRPr="001763AE">
        <w:t>One of th</w:t>
      </w:r>
      <w:r w:rsidR="00F35720" w:rsidRPr="001763AE">
        <w:t xml:space="preserve">e legacies of the project is a </w:t>
      </w:r>
      <w:r w:rsidRPr="001763AE">
        <w:t xml:space="preserve">professionally developed </w:t>
      </w:r>
      <w:r w:rsidR="006C3433" w:rsidRPr="001763AE">
        <w:t xml:space="preserve">and presented </w:t>
      </w:r>
      <w:r w:rsidRPr="001763AE">
        <w:t xml:space="preserve">on-line </w:t>
      </w:r>
      <w:r w:rsidR="00767CAD" w:rsidRPr="001763AE">
        <w:t>‘e</w:t>
      </w:r>
      <w:r w:rsidR="00372077" w:rsidRPr="001763AE">
        <w:t>-</w:t>
      </w:r>
      <w:r w:rsidR="00767CAD" w:rsidRPr="001763AE">
        <w:t>L</w:t>
      </w:r>
      <w:r w:rsidRPr="001763AE">
        <w:t xml:space="preserve">earning </w:t>
      </w:r>
      <w:r w:rsidR="00767CAD" w:rsidRPr="001763AE">
        <w:t>platform’ on sustainable financial management of p</w:t>
      </w:r>
      <w:r w:rsidRPr="001763AE">
        <w:t>rotected areas, hosted by the websit</w:t>
      </w:r>
      <w:r w:rsidR="006C3433" w:rsidRPr="001763AE">
        <w:t>e of the Carpathian N</w:t>
      </w:r>
      <w:r w:rsidR="00F35720" w:rsidRPr="001763AE">
        <w:t>etwork of Protected A</w:t>
      </w:r>
      <w:r w:rsidRPr="001763AE">
        <w:t>reas</w:t>
      </w:r>
      <w:r w:rsidR="00EE309F">
        <w:t xml:space="preserve"> (</w:t>
      </w:r>
      <w:hyperlink r:id="rId14" w:history="1">
        <w:r w:rsidR="00EE309F" w:rsidRPr="004F1A6A">
          <w:rPr>
            <w:rStyle w:val="Hyperlink"/>
          </w:rPr>
          <w:t>http://e-learning.carpathianparks.org/login/index.php</w:t>
        </w:r>
      </w:hyperlink>
      <w:r w:rsidR="00EE309F">
        <w:t xml:space="preserve"> )</w:t>
      </w:r>
      <w:r w:rsidR="00427F20" w:rsidRPr="001763AE">
        <w:t xml:space="preserve">. </w:t>
      </w:r>
      <w:r w:rsidR="00767CAD" w:rsidRPr="001763AE">
        <w:t>The course grew out of a project-supported regional needs assessment of both capacity development needs</w:t>
      </w:r>
      <w:r w:rsidR="00455C97" w:rsidRPr="001763AE">
        <w:t xml:space="preserve"> and preferred learning methods</w:t>
      </w:r>
      <w:r w:rsidR="00427F20" w:rsidRPr="001763AE">
        <w:t xml:space="preserve">. </w:t>
      </w:r>
      <w:r w:rsidR="00455C97" w:rsidRPr="001763AE">
        <w:t>It has four modules (Introduction to Financial Sustainability; Financial Sustainability for Site-Protected Areas; Financial Sustainability for Protected Area Systems; Policy &amp; Financial Mechanisms), each with a set of lessons that include instructional pages, exercises, examples and self-assessment tests</w:t>
      </w:r>
      <w:r w:rsidR="00427F20" w:rsidRPr="001763AE">
        <w:t xml:space="preserve">. </w:t>
      </w:r>
      <w:r w:rsidRPr="001763AE">
        <w:t>This course was highlighted by some as a particularly useful product of the project</w:t>
      </w:r>
      <w:r w:rsidR="006F6860" w:rsidRPr="001763AE">
        <w:t>,</w:t>
      </w:r>
      <w:r w:rsidRPr="001763AE">
        <w:t xml:space="preserve"> and it has been promoted to other c</w:t>
      </w:r>
      <w:r w:rsidR="00F35720" w:rsidRPr="001763AE">
        <w:t>ountries in the Carpathian</w:t>
      </w:r>
      <w:r w:rsidR="006F6860" w:rsidRPr="001763AE">
        <w:t>s</w:t>
      </w:r>
      <w:r w:rsidR="00427F20" w:rsidRPr="001763AE">
        <w:t xml:space="preserve">. </w:t>
      </w:r>
      <w:r w:rsidR="00F35720" w:rsidRPr="001763AE">
        <w:t>It</w:t>
      </w:r>
      <w:r w:rsidRPr="001763AE">
        <w:t xml:space="preserve"> is certainly a</w:t>
      </w:r>
      <w:r w:rsidR="00EE309F">
        <w:t>n</w:t>
      </w:r>
      <w:r w:rsidRPr="001763AE">
        <w:t xml:space="preserve"> innovative </w:t>
      </w:r>
      <w:r w:rsidR="00F35720" w:rsidRPr="001763AE">
        <w:t xml:space="preserve">and useful product, </w:t>
      </w:r>
      <w:r w:rsidRPr="001763AE">
        <w:t>but it would benefit from some improvement and refinement</w:t>
      </w:r>
      <w:r w:rsidR="00427F20" w:rsidRPr="001763AE">
        <w:t xml:space="preserve">. </w:t>
      </w:r>
      <w:r w:rsidR="00EE309F">
        <w:t>T</w:t>
      </w:r>
      <w:r w:rsidRPr="001763AE">
        <w:t xml:space="preserve">he language and terminology it uses is </w:t>
      </w:r>
      <w:r w:rsidR="00AF1B1B" w:rsidRPr="001763AE">
        <w:t xml:space="preserve">(in the opinion of this evaluator) </w:t>
      </w:r>
      <w:r w:rsidR="00D251D4" w:rsidRPr="001763AE">
        <w:t>rather</w:t>
      </w:r>
      <w:r w:rsidR="00AF1B1B" w:rsidRPr="001763AE">
        <w:t xml:space="preserve"> </w:t>
      </w:r>
      <w:r w:rsidRPr="001763AE">
        <w:t>complex and technical</w:t>
      </w:r>
      <w:r w:rsidR="00991091" w:rsidRPr="001763AE">
        <w:t xml:space="preserve"> for the non-</w:t>
      </w:r>
      <w:r w:rsidR="00A252A1" w:rsidRPr="001763AE">
        <w:t>specialist</w:t>
      </w:r>
      <w:r w:rsidR="00EE309F">
        <w:t>. More importantly</w:t>
      </w:r>
      <w:r w:rsidR="00942A04">
        <w:t>,</w:t>
      </w:r>
      <w:r w:rsidR="00EE309F">
        <w:t xml:space="preserve"> </w:t>
      </w:r>
      <w:r w:rsidR="00EE309F" w:rsidRPr="001763AE">
        <w:t xml:space="preserve">it is </w:t>
      </w:r>
      <w:r w:rsidR="00EE309F">
        <w:t xml:space="preserve">currently </w:t>
      </w:r>
      <w:r w:rsidR="00EE309F" w:rsidRPr="001763AE">
        <w:t>only available in English</w:t>
      </w:r>
      <w:r w:rsidR="00942A04">
        <w:t xml:space="preserve">; </w:t>
      </w:r>
      <w:r w:rsidR="00EE309F">
        <w:t xml:space="preserve">its potential will only be fulfilled if it translated </w:t>
      </w:r>
      <w:r w:rsidRPr="001763AE">
        <w:t>into Romanian and other regional language</w:t>
      </w:r>
      <w:r w:rsidR="00840621" w:rsidRPr="001763AE">
        <w:t>s</w:t>
      </w:r>
      <w:r w:rsidR="00427F20" w:rsidRPr="001763AE">
        <w:t>.</w:t>
      </w:r>
      <w:r w:rsidR="006C3433" w:rsidRPr="001763AE">
        <w:t xml:space="preserve"> </w:t>
      </w:r>
      <w:r w:rsidR="00A252A1" w:rsidRPr="001763AE">
        <w:t xml:space="preserve">Translation was considered by the project, but the expense was prohibitive for a product not originally foreseen </w:t>
      </w:r>
      <w:r w:rsidR="00EE309F">
        <w:t>and budgeted for;</w:t>
      </w:r>
      <w:r w:rsidR="00991091" w:rsidRPr="001763AE">
        <w:t xml:space="preserve"> it is to be hoped that another project will adopt and further </w:t>
      </w:r>
      <w:r w:rsidR="00D251D4" w:rsidRPr="001763AE">
        <w:t xml:space="preserve">test and </w:t>
      </w:r>
      <w:r w:rsidR="00991091" w:rsidRPr="001763AE">
        <w:t>refine the system</w:t>
      </w:r>
      <w:r w:rsidR="00A252A1" w:rsidRPr="001763AE">
        <w:t xml:space="preserve">. </w:t>
      </w:r>
      <w:r w:rsidR="006C3433" w:rsidRPr="001763AE">
        <w:t>It is too early at this stage to have any</w:t>
      </w:r>
      <w:r w:rsidR="00A252A1" w:rsidRPr="001763AE">
        <w:t xml:space="preserve"> data on registra</w:t>
      </w:r>
      <w:r w:rsidR="00EE309F">
        <w:t>tions or usage of the resource.</w:t>
      </w:r>
    </w:p>
    <w:p w:rsidR="000B4056" w:rsidRPr="001763AE" w:rsidRDefault="000B4056" w:rsidP="000B4056">
      <w:pPr>
        <w:pStyle w:val="Caption"/>
      </w:pPr>
      <w:bookmarkStart w:id="39" w:name="_Ref391551783"/>
      <w:r w:rsidRPr="001763AE">
        <w:t xml:space="preserve">Table </w:t>
      </w:r>
      <w:r w:rsidR="00C072C9">
        <w:fldChar w:fldCharType="begin"/>
      </w:r>
      <w:r w:rsidR="00C072C9">
        <w:instrText xml:space="preserve"> SEQ Table \* ARABIC </w:instrText>
      </w:r>
      <w:r w:rsidR="00C072C9">
        <w:fldChar w:fldCharType="separate"/>
      </w:r>
      <w:r w:rsidR="00D406FE">
        <w:rPr>
          <w:noProof/>
        </w:rPr>
        <w:t>24</w:t>
      </w:r>
      <w:r w:rsidR="00C072C9">
        <w:rPr>
          <w:noProof/>
        </w:rPr>
        <w:fldChar w:fldCharType="end"/>
      </w:r>
      <w:bookmarkEnd w:id="39"/>
      <w:r w:rsidRPr="001763AE">
        <w:t xml:space="preserve"> Capacity development events supported by the project</w:t>
      </w:r>
      <w:r w:rsidR="000F681F">
        <w:t>.</w:t>
      </w:r>
    </w:p>
    <w:tbl>
      <w:tblPr>
        <w:tblStyle w:val="Style2"/>
        <w:tblW w:w="5000" w:type="pct"/>
        <w:tblLook w:val="04A0" w:firstRow="1" w:lastRow="0" w:firstColumn="1" w:lastColumn="0" w:noHBand="0" w:noVBand="1"/>
      </w:tblPr>
      <w:tblGrid>
        <w:gridCol w:w="662"/>
        <w:gridCol w:w="7943"/>
        <w:gridCol w:w="1250"/>
      </w:tblGrid>
      <w:tr w:rsidR="00840621" w:rsidRPr="001763AE" w:rsidTr="001171E6">
        <w:trPr>
          <w:cnfStyle w:val="100000000000" w:firstRow="1" w:lastRow="0" w:firstColumn="0" w:lastColumn="0" w:oddVBand="0" w:evenVBand="0" w:oddHBand="0" w:evenHBand="0" w:firstRowFirstColumn="0" w:firstRowLastColumn="0" w:lastRowFirstColumn="0" w:lastRowLastColumn="0"/>
          <w:trHeight w:val="20"/>
        </w:trPr>
        <w:tc>
          <w:tcPr>
            <w:tcW w:w="336" w:type="pct"/>
            <w:vAlign w:val="center"/>
            <w:hideMark/>
          </w:tcPr>
          <w:p w:rsidR="00840621" w:rsidRPr="001763AE" w:rsidRDefault="00840621" w:rsidP="00EE3D02">
            <w:pPr>
              <w:rPr>
                <w:rFonts w:eastAsia="Times New Roman" w:cs="Times New Roman"/>
                <w:b w:val="0"/>
                <w:color w:val="000000"/>
                <w:sz w:val="20"/>
                <w:szCs w:val="20"/>
                <w:lang w:eastAsia="en-GB"/>
              </w:rPr>
            </w:pPr>
            <w:r w:rsidRPr="001763AE">
              <w:rPr>
                <w:rFonts w:eastAsia="Times New Roman" w:cs="Times New Roman"/>
                <w:color w:val="000000"/>
                <w:sz w:val="20"/>
                <w:szCs w:val="20"/>
                <w:lang w:eastAsia="en-GB"/>
              </w:rPr>
              <w:t>Year</w:t>
            </w:r>
          </w:p>
        </w:tc>
        <w:tc>
          <w:tcPr>
            <w:tcW w:w="4030" w:type="pct"/>
            <w:vAlign w:val="center"/>
          </w:tcPr>
          <w:p w:rsidR="00840621" w:rsidRPr="001763AE" w:rsidRDefault="00840621" w:rsidP="00EE3D02">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Capacity development event</w:t>
            </w:r>
          </w:p>
        </w:tc>
        <w:tc>
          <w:tcPr>
            <w:tcW w:w="634" w:type="pct"/>
            <w:vAlign w:val="center"/>
            <w:hideMark/>
          </w:tcPr>
          <w:p w:rsidR="00840621" w:rsidRPr="001763AE" w:rsidRDefault="00840621" w:rsidP="00EE3D02">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No of participants</w:t>
            </w:r>
          </w:p>
        </w:tc>
      </w:tr>
      <w:tr w:rsidR="00840621" w:rsidRPr="001763AE" w:rsidTr="001171E6">
        <w:trPr>
          <w:trHeight w:val="20"/>
        </w:trPr>
        <w:tc>
          <w:tcPr>
            <w:tcW w:w="336"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2010</w:t>
            </w:r>
          </w:p>
        </w:tc>
        <w:tc>
          <w:tcPr>
            <w:tcW w:w="4030" w:type="pct"/>
            <w:hideMark/>
          </w:tcPr>
          <w:p w:rsidR="00840621" w:rsidRPr="001763AE" w:rsidRDefault="00840621" w:rsidP="00942A04">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F</w:t>
            </w:r>
            <w:r w:rsidR="00942A04">
              <w:rPr>
                <w:rFonts w:eastAsia="Times New Roman" w:cs="Times New Roman"/>
                <w:color w:val="000000"/>
                <w:sz w:val="20"/>
                <w:szCs w:val="20"/>
                <w:lang w:eastAsia="en-GB"/>
              </w:rPr>
              <w:t>inancial analysis methodology.</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30</w:t>
            </w:r>
          </w:p>
        </w:tc>
      </w:tr>
      <w:tr w:rsidR="00840621" w:rsidRPr="001763AE" w:rsidTr="001171E6">
        <w:trPr>
          <w:trHeight w:val="20"/>
        </w:trPr>
        <w:tc>
          <w:tcPr>
            <w:tcW w:w="336" w:type="pct"/>
            <w:vMerge w:val="restar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2011</w:t>
            </w:r>
          </w:p>
        </w:tc>
        <w:tc>
          <w:tcPr>
            <w:tcW w:w="4030" w:type="pct"/>
            <w:hideMark/>
          </w:tcPr>
          <w:p w:rsidR="00840621" w:rsidRPr="001763AE" w:rsidRDefault="00840621" w:rsidP="00EE3D02">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PAs Administration Assoc</w:t>
            </w:r>
            <w:r w:rsidR="00942A04">
              <w:rPr>
                <w:rFonts w:eastAsia="Times New Roman" w:cs="Times New Roman"/>
                <w:color w:val="000000"/>
                <w:sz w:val="20"/>
                <w:szCs w:val="20"/>
                <w:lang w:eastAsia="en-GB"/>
              </w:rPr>
              <w:t>iation establishment meeting &amp; pilot parks financial a</w:t>
            </w:r>
            <w:r w:rsidRPr="001763AE">
              <w:rPr>
                <w:rFonts w:eastAsia="Times New Roman" w:cs="Times New Roman"/>
                <w:color w:val="000000"/>
                <w:sz w:val="20"/>
                <w:szCs w:val="20"/>
                <w:lang w:eastAsia="en-GB"/>
              </w:rPr>
              <w:t>nalysis</w:t>
            </w:r>
            <w:r w:rsidR="00942A04">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20</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840621" w:rsidP="00EE3D02">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Regional workshop on financial analysis</w:t>
            </w:r>
            <w:r w:rsidR="00942A04">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14</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840621" w:rsidP="00EE3D02">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Regional workshop on financial analysis</w:t>
            </w:r>
            <w:r w:rsidR="00942A04">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12</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840621" w:rsidP="00EE3D02">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Regional workshop on financial analysis</w:t>
            </w:r>
            <w:r w:rsidR="00942A04">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15</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942A04" w:rsidP="00942A04">
            <w:pPr>
              <w:rPr>
                <w:rFonts w:eastAsia="Times New Roman" w:cs="Times New Roman"/>
                <w:color w:val="000000"/>
                <w:sz w:val="20"/>
                <w:szCs w:val="20"/>
                <w:lang w:eastAsia="en-GB"/>
              </w:rPr>
            </w:pPr>
            <w:r>
              <w:rPr>
                <w:rFonts w:eastAsia="Times New Roman" w:cs="Times New Roman"/>
                <w:color w:val="000000"/>
                <w:sz w:val="20"/>
                <w:szCs w:val="20"/>
                <w:lang w:eastAsia="en-GB"/>
              </w:rPr>
              <w:t>International w</w:t>
            </w:r>
            <w:r w:rsidR="00840621" w:rsidRPr="001763AE">
              <w:rPr>
                <w:rFonts w:eastAsia="Times New Roman" w:cs="Times New Roman"/>
                <w:color w:val="000000"/>
                <w:sz w:val="20"/>
                <w:szCs w:val="20"/>
                <w:lang w:eastAsia="en-GB"/>
              </w:rPr>
              <w:t>orkshop on PA</w:t>
            </w:r>
            <w:r>
              <w:rPr>
                <w:rFonts w:eastAsia="Times New Roman" w:cs="Times New Roman"/>
                <w:color w:val="000000"/>
                <w:sz w:val="20"/>
                <w:szCs w:val="20"/>
                <w:lang w:eastAsia="en-GB"/>
              </w:rPr>
              <w:t xml:space="preserve"> sustainable f</w:t>
            </w:r>
            <w:r w:rsidR="00840621" w:rsidRPr="001763AE">
              <w:rPr>
                <w:rFonts w:eastAsia="Times New Roman" w:cs="Times New Roman"/>
                <w:color w:val="000000"/>
                <w:sz w:val="20"/>
                <w:szCs w:val="20"/>
                <w:lang w:eastAsia="en-GB"/>
              </w:rPr>
              <w:t>inancing</w:t>
            </w:r>
            <w:r>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37</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840621" w:rsidP="00EE3D02">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Financial Management System workshop</w:t>
            </w:r>
            <w:r w:rsidR="00942A04">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62</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840621" w:rsidP="00942A04">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Busin</w:t>
            </w:r>
            <w:r w:rsidR="00942A04">
              <w:rPr>
                <w:rFonts w:eastAsia="Times New Roman" w:cs="Times New Roman"/>
                <w:color w:val="000000"/>
                <w:sz w:val="20"/>
                <w:szCs w:val="20"/>
                <w:lang w:eastAsia="en-GB"/>
              </w:rPr>
              <w:t>ess planning methodology.</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15</w:t>
            </w:r>
          </w:p>
        </w:tc>
      </w:tr>
      <w:tr w:rsidR="00840621" w:rsidRPr="001763AE" w:rsidTr="001171E6">
        <w:trPr>
          <w:trHeight w:val="20"/>
        </w:trPr>
        <w:tc>
          <w:tcPr>
            <w:tcW w:w="336" w:type="pct"/>
            <w:vMerge w:val="restar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2012</w:t>
            </w:r>
          </w:p>
        </w:tc>
        <w:tc>
          <w:tcPr>
            <w:tcW w:w="4030" w:type="pct"/>
            <w:hideMark/>
          </w:tcPr>
          <w:p w:rsidR="00840621" w:rsidRPr="001763AE" w:rsidRDefault="00840621" w:rsidP="00EE3D02">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Communication training for PAs representatives</w:t>
            </w:r>
            <w:r w:rsidR="00942A04">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18</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840621" w:rsidP="002025F5">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 xml:space="preserve">Training working on approaches to demonstrate the value of the Carpathian system of </w:t>
            </w:r>
            <w:r w:rsidR="002025F5" w:rsidRPr="001763AE">
              <w:rPr>
                <w:rFonts w:eastAsia="Times New Roman" w:cs="Times New Roman"/>
                <w:color w:val="000000"/>
                <w:sz w:val="20"/>
                <w:szCs w:val="20"/>
                <w:lang w:eastAsia="en-GB"/>
              </w:rPr>
              <w:t>PAs</w:t>
            </w:r>
            <w:r w:rsidR="00942A04">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32</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840621" w:rsidP="00EE3D02">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Accounting procedures workshop</w:t>
            </w:r>
            <w:r w:rsidR="00942A04">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24</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840621" w:rsidP="00EE3D02">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Park administration business planning and financial strategy workshop</w:t>
            </w:r>
            <w:r w:rsidR="00942A04">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47</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695209" w:rsidP="00EE3D02">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 xml:space="preserve">National Conference: </w:t>
            </w:r>
            <w:r w:rsidR="00840621" w:rsidRPr="001763AE">
              <w:rPr>
                <w:rFonts w:eastAsia="Times New Roman" w:cs="Times New Roman"/>
                <w:color w:val="000000"/>
                <w:sz w:val="20"/>
                <w:szCs w:val="20"/>
                <w:lang w:eastAsia="en-GB"/>
              </w:rPr>
              <w:t xml:space="preserve">Exploring the potential for private sector partnerships in the </w:t>
            </w:r>
            <w:r w:rsidR="00942A04">
              <w:rPr>
                <w:rFonts w:eastAsia="Times New Roman" w:cs="Times New Roman"/>
                <w:color w:val="000000"/>
                <w:sz w:val="20"/>
                <w:szCs w:val="20"/>
                <w:lang w:eastAsia="en-GB"/>
              </w:rPr>
              <w:t xml:space="preserve">Carpathian </w:t>
            </w:r>
            <w:r w:rsidR="00840621" w:rsidRPr="001763AE">
              <w:rPr>
                <w:rFonts w:eastAsia="Times New Roman" w:cs="Times New Roman"/>
                <w:color w:val="000000"/>
                <w:sz w:val="20"/>
                <w:szCs w:val="20"/>
                <w:lang w:eastAsia="en-GB"/>
              </w:rPr>
              <w:t>Protected Areas</w:t>
            </w:r>
            <w:r w:rsidR="00942A04">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50</w:t>
            </w:r>
          </w:p>
        </w:tc>
      </w:tr>
      <w:tr w:rsidR="00840621" w:rsidRPr="001763AE" w:rsidTr="001171E6">
        <w:trPr>
          <w:trHeight w:val="20"/>
        </w:trPr>
        <w:tc>
          <w:tcPr>
            <w:tcW w:w="336" w:type="pct"/>
            <w:vMerge w:val="restar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2013</w:t>
            </w:r>
          </w:p>
        </w:tc>
        <w:tc>
          <w:tcPr>
            <w:tcW w:w="4030" w:type="pct"/>
            <w:hideMark/>
          </w:tcPr>
          <w:p w:rsidR="00840621" w:rsidRPr="001763AE" w:rsidRDefault="00942A04" w:rsidP="00EE3D02">
            <w:pPr>
              <w:rPr>
                <w:rFonts w:eastAsia="Times New Roman" w:cs="Times New Roman"/>
                <w:color w:val="000000"/>
                <w:sz w:val="20"/>
                <w:szCs w:val="20"/>
                <w:lang w:eastAsia="en-GB"/>
              </w:rPr>
            </w:pPr>
            <w:r>
              <w:rPr>
                <w:rFonts w:eastAsia="Times New Roman" w:cs="Times New Roman"/>
                <w:color w:val="000000"/>
                <w:sz w:val="20"/>
                <w:szCs w:val="20"/>
                <w:lang w:eastAsia="en-GB"/>
              </w:rPr>
              <w:t>E</w:t>
            </w:r>
            <w:r w:rsidR="00840621" w:rsidRPr="001763AE">
              <w:rPr>
                <w:rFonts w:eastAsia="Times New Roman" w:cs="Times New Roman"/>
                <w:color w:val="000000"/>
                <w:sz w:val="20"/>
                <w:szCs w:val="20"/>
                <w:lang w:eastAsia="en-GB"/>
              </w:rPr>
              <w:t>conomic valuation of protected areas in Eastern Europe</w:t>
            </w:r>
            <w:r>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7</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840621" w:rsidP="00EE3D02">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National Conference - Public politics on financing Carpathian Protected Areas</w:t>
            </w:r>
            <w:r w:rsidR="00942A04">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64</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840621" w:rsidP="00EE3D02">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Conference of the Carpath</w:t>
            </w:r>
            <w:r w:rsidR="00942A04">
              <w:rPr>
                <w:rFonts w:eastAsia="Times New Roman" w:cs="Times New Roman"/>
                <w:color w:val="000000"/>
                <w:sz w:val="20"/>
                <w:szCs w:val="20"/>
                <w:lang w:eastAsia="en-GB"/>
              </w:rPr>
              <w:t>ian Network of Protected Areas :’</w:t>
            </w:r>
            <w:r w:rsidRPr="001763AE">
              <w:rPr>
                <w:rFonts w:eastAsia="Times New Roman" w:cs="Times New Roman"/>
                <w:color w:val="000000"/>
                <w:sz w:val="20"/>
                <w:szCs w:val="20"/>
                <w:lang w:eastAsia="en-GB"/>
              </w:rPr>
              <w:t>Challenges and opportunities in</w:t>
            </w:r>
            <w:r w:rsidR="00942A04">
              <w:rPr>
                <w:rFonts w:eastAsia="Times New Roman" w:cs="Times New Roman"/>
                <w:color w:val="000000"/>
                <w:sz w:val="20"/>
                <w:szCs w:val="20"/>
                <w:lang w:eastAsia="en-GB"/>
              </w:rPr>
              <w:t xml:space="preserve"> the Carpathian protected areas’.</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16</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840621" w:rsidP="00EE3D02">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Business planning and Financial Inform</w:t>
            </w:r>
            <w:r w:rsidR="00942A04">
              <w:rPr>
                <w:rFonts w:eastAsia="Times New Roman" w:cs="Times New Roman"/>
                <w:color w:val="000000"/>
                <w:sz w:val="20"/>
                <w:szCs w:val="20"/>
                <w:lang w:eastAsia="en-GB"/>
              </w:rPr>
              <w:t>ation Management System (FIMS) s</w:t>
            </w:r>
            <w:r w:rsidRPr="001763AE">
              <w:rPr>
                <w:rFonts w:eastAsia="Times New Roman" w:cs="Times New Roman"/>
                <w:color w:val="000000"/>
                <w:sz w:val="20"/>
                <w:szCs w:val="20"/>
                <w:lang w:eastAsia="en-GB"/>
              </w:rPr>
              <w:t>oftware meeting</w:t>
            </w:r>
            <w:r w:rsidR="00942A04">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55</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942A04" w:rsidP="00EE3D02">
            <w:pPr>
              <w:rPr>
                <w:rFonts w:eastAsia="Times New Roman" w:cs="Times New Roman"/>
                <w:color w:val="000000"/>
                <w:sz w:val="20"/>
                <w:szCs w:val="20"/>
                <w:lang w:eastAsia="en-GB"/>
              </w:rPr>
            </w:pPr>
            <w:r>
              <w:rPr>
                <w:rFonts w:eastAsia="Times New Roman" w:cs="Times New Roman"/>
                <w:color w:val="000000"/>
                <w:sz w:val="20"/>
                <w:szCs w:val="20"/>
                <w:lang w:eastAsia="en-GB"/>
              </w:rPr>
              <w:t>E-learning &amp; sustainable financial strategy m</w:t>
            </w:r>
            <w:r w:rsidR="00840621" w:rsidRPr="001763AE">
              <w:rPr>
                <w:rFonts w:eastAsia="Times New Roman" w:cs="Times New Roman"/>
                <w:color w:val="000000"/>
                <w:sz w:val="20"/>
                <w:szCs w:val="20"/>
                <w:lang w:eastAsia="en-GB"/>
              </w:rPr>
              <w:t>eeting</w:t>
            </w:r>
            <w:r>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33</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840621" w:rsidP="00EE3D02">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The 2nd International Workshop on Sustainable Financing of Carpathian Protected Areas</w:t>
            </w:r>
            <w:r w:rsidR="00942A04">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54</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942A04" w:rsidP="00EE3D02">
            <w:pPr>
              <w:rPr>
                <w:rFonts w:eastAsia="Times New Roman" w:cs="Times New Roman"/>
                <w:color w:val="000000"/>
                <w:sz w:val="20"/>
                <w:szCs w:val="20"/>
                <w:lang w:eastAsia="en-GB"/>
              </w:rPr>
            </w:pPr>
            <w:r>
              <w:rPr>
                <w:rFonts w:eastAsia="Times New Roman" w:cs="Times New Roman"/>
                <w:color w:val="000000"/>
                <w:sz w:val="20"/>
                <w:szCs w:val="20"/>
                <w:lang w:eastAsia="en-GB"/>
              </w:rPr>
              <w:t>Workshop with PA</w:t>
            </w:r>
            <w:r w:rsidR="00840621" w:rsidRPr="001763AE">
              <w:rPr>
                <w:rFonts w:eastAsia="Times New Roman" w:cs="Times New Roman"/>
                <w:color w:val="000000"/>
                <w:sz w:val="20"/>
                <w:szCs w:val="20"/>
                <w:lang w:eastAsia="en-GB"/>
              </w:rPr>
              <w:t xml:space="preserve"> accountants and FIMS software company</w:t>
            </w:r>
            <w:r>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32</w:t>
            </w:r>
          </w:p>
        </w:tc>
      </w:tr>
      <w:tr w:rsidR="00840621" w:rsidRPr="001763AE" w:rsidTr="001171E6">
        <w:trPr>
          <w:trHeight w:val="20"/>
        </w:trPr>
        <w:tc>
          <w:tcPr>
            <w:tcW w:w="336" w:type="pct"/>
            <w:vMerge w:val="restar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2014</w:t>
            </w:r>
          </w:p>
        </w:tc>
        <w:tc>
          <w:tcPr>
            <w:tcW w:w="4030" w:type="pct"/>
            <w:hideMark/>
          </w:tcPr>
          <w:p w:rsidR="00840621" w:rsidRPr="001763AE" w:rsidRDefault="00840621" w:rsidP="00942A04">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Workshop with Park Directors for the improv</w:t>
            </w:r>
            <w:r w:rsidR="00942A04">
              <w:rPr>
                <w:rFonts w:eastAsia="Times New Roman" w:cs="Times New Roman"/>
                <w:color w:val="000000"/>
                <w:sz w:val="20"/>
                <w:szCs w:val="20"/>
                <w:lang w:eastAsia="en-GB"/>
              </w:rPr>
              <w:t>ement of the management plans.</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59</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840621" w:rsidP="00942A04">
            <w:pPr>
              <w:rPr>
                <w:rFonts w:eastAsia="Times New Roman" w:cs="Times New Roman"/>
                <w:color w:val="000000"/>
                <w:sz w:val="20"/>
                <w:szCs w:val="20"/>
                <w:lang w:eastAsia="en-GB"/>
              </w:rPr>
            </w:pPr>
            <w:r w:rsidRPr="001763AE">
              <w:rPr>
                <w:rFonts w:eastAsia="Times New Roman" w:cs="Times New Roman"/>
                <w:color w:val="000000"/>
                <w:sz w:val="20"/>
                <w:szCs w:val="20"/>
                <w:lang w:eastAsia="en-GB"/>
              </w:rPr>
              <w:t>Worksho</w:t>
            </w:r>
            <w:r w:rsidR="00942A04">
              <w:rPr>
                <w:rFonts w:eastAsia="Times New Roman" w:cs="Times New Roman"/>
                <w:color w:val="000000"/>
                <w:sz w:val="20"/>
                <w:szCs w:val="20"/>
                <w:lang w:eastAsia="en-GB"/>
              </w:rPr>
              <w:t>p with targeted Park Directors (</w:t>
            </w:r>
            <w:r w:rsidRPr="001763AE">
              <w:rPr>
                <w:rFonts w:eastAsia="Times New Roman" w:cs="Times New Roman"/>
                <w:color w:val="000000"/>
                <w:sz w:val="20"/>
                <w:szCs w:val="20"/>
                <w:lang w:eastAsia="en-GB"/>
              </w:rPr>
              <w:t>Domogled-Valea Cernei, Semenic-Cheile Carașului, Cheile Nerei-Beușnița, Defileul Jiului, Buila Vanturarita and Lunca Mureșului</w:t>
            </w:r>
            <w:r w:rsidR="00942A04">
              <w:rPr>
                <w:rFonts w:eastAsia="Times New Roman" w:cs="Times New Roman"/>
                <w:color w:val="000000"/>
                <w:sz w:val="20"/>
                <w:szCs w:val="20"/>
                <w:lang w:eastAsia="en-GB"/>
              </w:rPr>
              <w:t>) for the improvement of m</w:t>
            </w:r>
            <w:r w:rsidRPr="001763AE">
              <w:rPr>
                <w:rFonts w:eastAsia="Times New Roman" w:cs="Times New Roman"/>
                <w:color w:val="000000"/>
                <w:sz w:val="20"/>
                <w:szCs w:val="20"/>
                <w:lang w:eastAsia="en-GB"/>
              </w:rPr>
              <w:t xml:space="preserve">anagement </w:t>
            </w:r>
            <w:r w:rsidR="00942A04">
              <w:rPr>
                <w:rFonts w:eastAsia="Times New Roman" w:cs="Times New Roman"/>
                <w:color w:val="000000"/>
                <w:sz w:val="20"/>
                <w:szCs w:val="20"/>
                <w:lang w:eastAsia="en-GB"/>
              </w:rPr>
              <w:t>p</w:t>
            </w:r>
            <w:r w:rsidRPr="001763AE">
              <w:rPr>
                <w:rFonts w:eastAsia="Times New Roman" w:cs="Times New Roman"/>
                <w:color w:val="000000"/>
                <w:sz w:val="20"/>
                <w:szCs w:val="20"/>
                <w:lang w:eastAsia="en-GB"/>
              </w:rPr>
              <w:t>lans</w:t>
            </w:r>
            <w:r w:rsidR="00942A04">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22</w:t>
            </w:r>
          </w:p>
        </w:tc>
      </w:tr>
      <w:tr w:rsidR="00840621" w:rsidRPr="001763AE" w:rsidTr="001171E6">
        <w:trPr>
          <w:trHeight w:val="20"/>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E2271C" w:rsidP="00EE3D02">
            <w:pPr>
              <w:rPr>
                <w:rFonts w:eastAsia="Times New Roman" w:cs="Times New Roman"/>
                <w:color w:val="000000"/>
                <w:sz w:val="20"/>
                <w:szCs w:val="20"/>
                <w:lang w:eastAsia="en-GB"/>
              </w:rPr>
            </w:pPr>
            <w:r>
              <w:rPr>
                <w:rFonts w:eastAsia="Times New Roman" w:cs="Times New Roman"/>
                <w:color w:val="000000"/>
                <w:sz w:val="20"/>
                <w:szCs w:val="20"/>
                <w:lang w:eastAsia="en-GB"/>
              </w:rPr>
              <w:t>Working group representatives</w:t>
            </w:r>
            <w:r w:rsidR="00840621" w:rsidRPr="001763AE">
              <w:rPr>
                <w:rFonts w:eastAsia="Times New Roman" w:cs="Times New Roman"/>
                <w:color w:val="000000"/>
                <w:sz w:val="20"/>
                <w:szCs w:val="20"/>
                <w:lang w:eastAsia="en-GB"/>
              </w:rPr>
              <w:t xml:space="preserve"> of National and Natural Parks Cozia, Defileul Jiului, Comana, Putna Vrancea for the review of management plans</w:t>
            </w:r>
            <w:r w:rsidR="00942A04">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6</w:t>
            </w:r>
          </w:p>
        </w:tc>
      </w:tr>
      <w:tr w:rsidR="00840621" w:rsidRPr="001763AE" w:rsidTr="001171E6">
        <w:trPr>
          <w:trHeight w:val="492"/>
        </w:trPr>
        <w:tc>
          <w:tcPr>
            <w:tcW w:w="336" w:type="pct"/>
            <w:vMerge/>
            <w:hideMark/>
          </w:tcPr>
          <w:p w:rsidR="00840621" w:rsidRPr="001763AE" w:rsidRDefault="00840621" w:rsidP="00EE3D02">
            <w:pPr>
              <w:rPr>
                <w:rFonts w:eastAsia="Times New Roman" w:cs="Times New Roman"/>
                <w:color w:val="000000"/>
                <w:sz w:val="20"/>
                <w:szCs w:val="20"/>
                <w:lang w:eastAsia="en-GB"/>
              </w:rPr>
            </w:pPr>
          </w:p>
        </w:tc>
        <w:tc>
          <w:tcPr>
            <w:tcW w:w="4030" w:type="pct"/>
            <w:hideMark/>
          </w:tcPr>
          <w:p w:rsidR="00840621" w:rsidRPr="001763AE" w:rsidRDefault="00E2271C" w:rsidP="00EE3D02">
            <w:pPr>
              <w:rPr>
                <w:rFonts w:eastAsia="Times New Roman" w:cs="Times New Roman"/>
                <w:color w:val="000000"/>
                <w:sz w:val="20"/>
                <w:szCs w:val="20"/>
                <w:lang w:eastAsia="en-GB"/>
              </w:rPr>
            </w:pPr>
            <w:r>
              <w:rPr>
                <w:rFonts w:eastAsia="Times New Roman" w:cs="Times New Roman"/>
                <w:color w:val="000000"/>
                <w:sz w:val="20"/>
                <w:szCs w:val="20"/>
                <w:lang w:eastAsia="en-GB"/>
              </w:rPr>
              <w:t>Working group representatives</w:t>
            </w:r>
            <w:r w:rsidR="00840621" w:rsidRPr="001763AE">
              <w:rPr>
                <w:rFonts w:eastAsia="Times New Roman" w:cs="Times New Roman"/>
                <w:color w:val="000000"/>
                <w:sz w:val="20"/>
                <w:szCs w:val="20"/>
                <w:lang w:eastAsia="en-GB"/>
              </w:rPr>
              <w:t xml:space="preserve"> of National and Natural Parks Maramures, Rodnei, Vanatori Ne</w:t>
            </w:r>
            <w:r>
              <w:rPr>
                <w:rFonts w:eastAsia="Times New Roman" w:cs="Times New Roman"/>
                <w:color w:val="000000"/>
                <w:sz w:val="20"/>
                <w:szCs w:val="20"/>
                <w:lang w:eastAsia="en-GB"/>
              </w:rPr>
              <w:t>a</w:t>
            </w:r>
            <w:r w:rsidR="00840621" w:rsidRPr="001763AE">
              <w:rPr>
                <w:rFonts w:eastAsia="Times New Roman" w:cs="Times New Roman"/>
                <w:color w:val="000000"/>
                <w:sz w:val="20"/>
                <w:szCs w:val="20"/>
                <w:lang w:eastAsia="en-GB"/>
              </w:rPr>
              <w:t>mt, Cheile Bicazului, Apuseni for the review of management plans</w:t>
            </w:r>
            <w:r w:rsidR="00942A04">
              <w:rPr>
                <w:rFonts w:eastAsia="Times New Roman" w:cs="Times New Roman"/>
                <w:color w:val="000000"/>
                <w:sz w:val="20"/>
                <w:szCs w:val="20"/>
                <w:lang w:eastAsia="en-GB"/>
              </w:rPr>
              <w:t>.</w:t>
            </w:r>
          </w:p>
        </w:tc>
        <w:tc>
          <w:tcPr>
            <w:tcW w:w="634" w:type="pct"/>
            <w:noWrap/>
            <w:hideMark/>
          </w:tcPr>
          <w:p w:rsidR="00840621" w:rsidRPr="001763AE" w:rsidRDefault="00840621" w:rsidP="00EE3D02">
            <w:pPr>
              <w:jc w:val="center"/>
              <w:rPr>
                <w:rFonts w:eastAsia="Times New Roman" w:cs="Times New Roman"/>
                <w:color w:val="000000"/>
                <w:sz w:val="20"/>
                <w:szCs w:val="20"/>
                <w:lang w:eastAsia="en-GB"/>
              </w:rPr>
            </w:pPr>
            <w:r w:rsidRPr="001763AE">
              <w:rPr>
                <w:rFonts w:eastAsia="Times New Roman" w:cs="Times New Roman"/>
                <w:color w:val="000000"/>
                <w:sz w:val="20"/>
                <w:szCs w:val="20"/>
                <w:lang w:eastAsia="en-GB"/>
              </w:rPr>
              <w:t>6</w:t>
            </w:r>
          </w:p>
        </w:tc>
      </w:tr>
    </w:tbl>
    <w:p w:rsidR="00D96BA8" w:rsidRPr="001763AE" w:rsidRDefault="00D96BA8" w:rsidP="00D96BA8">
      <w:pPr>
        <w:pStyle w:val="Heading6"/>
      </w:pPr>
      <w:r w:rsidRPr="001763AE">
        <w:t>Evaluation</w:t>
      </w:r>
    </w:p>
    <w:p w:rsidR="0025256D" w:rsidRDefault="00D96BA8" w:rsidP="00D96BA8">
      <w:r w:rsidRPr="001763AE">
        <w:t xml:space="preserve">This output is evaluated as </w:t>
      </w:r>
      <w:r w:rsidRPr="001763AE">
        <w:rPr>
          <w:b/>
        </w:rPr>
        <w:t>Satisfactory</w:t>
      </w:r>
      <w:r w:rsidR="00216CF6">
        <w:rPr>
          <w:b/>
        </w:rPr>
        <w:t xml:space="preserve"> (S)</w:t>
      </w:r>
      <w:r w:rsidR="0098365A" w:rsidRPr="001763AE">
        <w:t>, with minor shortcomings related to the tracking and verification of the training programme.</w:t>
      </w:r>
    </w:p>
    <w:p w:rsidR="00427F20" w:rsidRPr="001763AE" w:rsidRDefault="00410B73" w:rsidP="00410B73">
      <w:pPr>
        <w:pStyle w:val="Heading5"/>
        <w:rPr>
          <w:rFonts w:cs="Calibri"/>
          <w:sz w:val="20"/>
        </w:rPr>
      </w:pPr>
      <w:r w:rsidRPr="001763AE">
        <w:t>Output 2</w:t>
      </w:r>
      <w:r w:rsidR="007C63A9" w:rsidRPr="001763AE">
        <w:t>.2</w:t>
      </w:r>
      <w:r w:rsidRPr="001763AE">
        <w:tab/>
        <w:t>A National Association of t</w:t>
      </w:r>
      <w:r w:rsidR="00697A5E" w:rsidRPr="001763AE">
        <w:t>he Legal Entities Administering</w:t>
      </w:r>
      <w:r w:rsidRPr="001763AE">
        <w:t xml:space="preserve"> Protected Areas established</w:t>
      </w:r>
    </w:p>
    <w:p w:rsidR="00427F20" w:rsidRPr="001763AE" w:rsidRDefault="004F39AB" w:rsidP="00DB28F8">
      <w:pPr>
        <w:pStyle w:val="NumberedPara"/>
        <w:numPr>
          <w:ilvl w:val="0"/>
          <w:numId w:val="0"/>
        </w:numPr>
      </w:pPr>
      <w:r w:rsidRPr="001763AE">
        <w:t xml:space="preserve">The </w:t>
      </w:r>
      <w:r w:rsidRPr="001763AE">
        <w:rPr>
          <w:i/>
        </w:rPr>
        <w:t>‘</w:t>
      </w:r>
      <w:r w:rsidR="008049CD" w:rsidRPr="001763AE">
        <w:t>National Association of L</w:t>
      </w:r>
      <w:r w:rsidR="00840621" w:rsidRPr="001763AE">
        <w:t>egal Entities Administrating Protected A</w:t>
      </w:r>
      <w:r w:rsidRPr="001763AE">
        <w:t>reas’</w:t>
      </w:r>
      <w:r w:rsidRPr="001763AE">
        <w:rPr>
          <w:i/>
        </w:rPr>
        <w:t xml:space="preserve"> </w:t>
      </w:r>
      <w:r w:rsidRPr="001763AE">
        <w:t xml:space="preserve">was </w:t>
      </w:r>
      <w:r w:rsidR="004A4174" w:rsidRPr="001763AE">
        <w:t xml:space="preserve">legally </w:t>
      </w:r>
      <w:r w:rsidRPr="001763AE">
        <w:t>established</w:t>
      </w:r>
      <w:r w:rsidR="004A4174" w:rsidRPr="001763AE">
        <w:t xml:space="preserve"> </w:t>
      </w:r>
      <w:r w:rsidR="008364C6" w:rsidRPr="001763AE">
        <w:t>in 2011</w:t>
      </w:r>
      <w:r w:rsidR="00840621" w:rsidRPr="001763AE">
        <w:t>,</w:t>
      </w:r>
      <w:r w:rsidR="008364C6" w:rsidRPr="001763AE">
        <w:t xml:space="preserve"> </w:t>
      </w:r>
      <w:r w:rsidR="00840621" w:rsidRPr="001763AE">
        <w:t xml:space="preserve">with </w:t>
      </w:r>
      <w:r w:rsidR="004A4174" w:rsidRPr="001763AE">
        <w:t>support</w:t>
      </w:r>
      <w:r w:rsidR="008364C6" w:rsidRPr="001763AE">
        <w:t xml:space="preserve"> from</w:t>
      </w:r>
      <w:r w:rsidR="004A4174" w:rsidRPr="001763AE">
        <w:t xml:space="preserve"> the project</w:t>
      </w:r>
      <w:r w:rsidR="008364C6" w:rsidRPr="001763AE">
        <w:t xml:space="preserve"> and using seed money from a private donor</w:t>
      </w:r>
      <w:r w:rsidR="00427F20" w:rsidRPr="001763AE">
        <w:t xml:space="preserve">. </w:t>
      </w:r>
      <w:r w:rsidR="008364C6" w:rsidRPr="001763AE">
        <w:t>The Association is chaire</w:t>
      </w:r>
      <w:r w:rsidR="004A4174" w:rsidRPr="001763AE">
        <w:t>d by the current Director of Pia</w:t>
      </w:r>
      <w:r w:rsidR="008364C6" w:rsidRPr="001763AE">
        <w:t>t</w:t>
      </w:r>
      <w:r w:rsidR="004A4174" w:rsidRPr="001763AE">
        <w:t>ra Crai</w:t>
      </w:r>
      <w:r w:rsidR="008364C6" w:rsidRPr="001763AE">
        <w:t>u</w:t>
      </w:r>
      <w:r w:rsidR="004A4174" w:rsidRPr="001763AE">
        <w:t xml:space="preserve">lui National </w:t>
      </w:r>
      <w:r w:rsidR="008364C6" w:rsidRPr="001763AE">
        <w:t>Park</w:t>
      </w:r>
      <w:r w:rsidR="00427F20" w:rsidRPr="001763AE">
        <w:t xml:space="preserve">. </w:t>
      </w:r>
      <w:r w:rsidR="006C3433" w:rsidRPr="001763AE">
        <w:t>Its</w:t>
      </w:r>
      <w:r w:rsidR="00840621" w:rsidRPr="001763AE">
        <w:t xml:space="preserve"> main objectives</w:t>
      </w:r>
      <w:r w:rsidR="004A4174" w:rsidRPr="001763AE">
        <w:t xml:space="preserve"> are</w:t>
      </w:r>
      <w:r w:rsidR="00840621" w:rsidRPr="001763AE">
        <w:t>:</w:t>
      </w:r>
      <w:r w:rsidR="004A4174" w:rsidRPr="001763AE">
        <w:t xml:space="preserve"> i) to provide a</w:t>
      </w:r>
      <w:r w:rsidR="006E16CE" w:rsidRPr="001763AE">
        <w:t xml:space="preserve"> </w:t>
      </w:r>
      <w:r w:rsidR="004A4174" w:rsidRPr="001763AE">
        <w:t>common platform for lobbying by the p</w:t>
      </w:r>
      <w:r w:rsidR="00840621" w:rsidRPr="001763AE">
        <w:t>rotected area sectors for improvements</w:t>
      </w:r>
      <w:r w:rsidR="004A4174" w:rsidRPr="001763AE">
        <w:t xml:space="preserve"> in the management of the PA system; ii) to suppor</w:t>
      </w:r>
      <w:r w:rsidR="00840621" w:rsidRPr="001763AE">
        <w:t>t improvement of professional standards among PA</w:t>
      </w:r>
      <w:r w:rsidR="004A4174" w:rsidRPr="001763AE">
        <w:t xml:space="preserve"> personnel</w:t>
      </w:r>
      <w:r w:rsidR="00840621" w:rsidRPr="001763AE">
        <w:t>;</w:t>
      </w:r>
      <w:r w:rsidR="004A4174" w:rsidRPr="001763AE">
        <w:t xml:space="preserve"> iii) to develop and implement small</w:t>
      </w:r>
      <w:r w:rsidR="00840621" w:rsidRPr="001763AE">
        <w:t xml:space="preserve"> projects in support of the PA network; </w:t>
      </w:r>
      <w:r w:rsidR="004A4174" w:rsidRPr="001763AE">
        <w:t>iv) to raise awareness about</w:t>
      </w:r>
      <w:r w:rsidR="00840621" w:rsidRPr="001763AE">
        <w:t xml:space="preserve"> the protected area network, its</w:t>
      </w:r>
      <w:r w:rsidR="004A4174" w:rsidRPr="001763AE">
        <w:t xml:space="preserve"> values and the be</w:t>
      </w:r>
      <w:r w:rsidR="00840621" w:rsidRPr="001763AE">
        <w:t>nefits</w:t>
      </w:r>
      <w:r w:rsidR="004A4174" w:rsidRPr="001763AE">
        <w:t xml:space="preserve"> it brings</w:t>
      </w:r>
      <w:r w:rsidR="00427F20" w:rsidRPr="001763AE">
        <w:t>.</w:t>
      </w:r>
    </w:p>
    <w:p w:rsidR="00427F20" w:rsidRPr="001763AE" w:rsidRDefault="00480E42" w:rsidP="00DB28F8">
      <w:pPr>
        <w:pStyle w:val="NumberedPara"/>
        <w:numPr>
          <w:ilvl w:val="0"/>
          <w:numId w:val="0"/>
        </w:numPr>
      </w:pPr>
      <w:r w:rsidRPr="001763AE">
        <w:t>Current</w:t>
      </w:r>
      <w:r w:rsidR="002025F5" w:rsidRPr="001763AE">
        <w:t>l</w:t>
      </w:r>
      <w:r w:rsidRPr="001763AE">
        <w:t>y the Association has 24 members</w:t>
      </w:r>
      <w:r w:rsidR="00840621" w:rsidRPr="001763AE">
        <w:t xml:space="preserve">: </w:t>
      </w:r>
      <w:r w:rsidRPr="001763AE">
        <w:t>22 protected areas, the NFA and Adminis</w:t>
      </w:r>
      <w:r w:rsidR="00840621" w:rsidRPr="001763AE">
        <w:t>tration of the Danube Delta Bio</w:t>
      </w:r>
      <w:r w:rsidRPr="001763AE">
        <w:t>s</w:t>
      </w:r>
      <w:r w:rsidR="00840621" w:rsidRPr="001763AE">
        <w:t>phere Reserve</w:t>
      </w:r>
      <w:r w:rsidR="00427F20" w:rsidRPr="001763AE">
        <w:t xml:space="preserve">. </w:t>
      </w:r>
      <w:r w:rsidRPr="001763AE">
        <w:t xml:space="preserve">Since </w:t>
      </w:r>
      <w:r w:rsidR="00840621" w:rsidRPr="001763AE">
        <w:t xml:space="preserve">its </w:t>
      </w:r>
      <w:r w:rsidRPr="001763AE">
        <w:t>est</w:t>
      </w:r>
      <w:r w:rsidR="00840621" w:rsidRPr="001763AE">
        <w:t xml:space="preserve">ablishment, </w:t>
      </w:r>
      <w:r w:rsidR="00BE2546" w:rsidRPr="001763AE">
        <w:t xml:space="preserve">the Association has represented protected area administrations in the project and joined the project team in consultations and meetings with the </w:t>
      </w:r>
      <w:r w:rsidR="00840621" w:rsidRPr="001763AE">
        <w:t>MoECC</w:t>
      </w:r>
      <w:r w:rsidR="00BE2546" w:rsidRPr="001763AE">
        <w:t xml:space="preserve"> and </w:t>
      </w:r>
      <w:r w:rsidR="00840621" w:rsidRPr="001763AE">
        <w:t>other national stakeholders</w:t>
      </w:r>
      <w:r w:rsidR="00427F20" w:rsidRPr="001763AE">
        <w:t xml:space="preserve">. </w:t>
      </w:r>
      <w:r w:rsidR="00840621" w:rsidRPr="001763AE">
        <w:t>T</w:t>
      </w:r>
      <w:r w:rsidR="00BE2546" w:rsidRPr="001763AE">
        <w:t>he project</w:t>
      </w:r>
      <w:r w:rsidR="006E16CE" w:rsidRPr="001763AE">
        <w:t xml:space="preserve"> </w:t>
      </w:r>
      <w:r w:rsidR="008364C6" w:rsidRPr="001763AE">
        <w:t>attempted to</w:t>
      </w:r>
      <w:r w:rsidR="006E16CE" w:rsidRPr="001763AE">
        <w:t xml:space="preserve"> </w:t>
      </w:r>
      <w:r w:rsidR="008364C6" w:rsidRPr="001763AE">
        <w:t>base</w:t>
      </w:r>
      <w:r w:rsidR="006E16CE" w:rsidRPr="001763AE">
        <w:t xml:space="preserve"> </w:t>
      </w:r>
      <w:r w:rsidR="00840621" w:rsidRPr="001763AE">
        <w:t>the proposed Business Development U</w:t>
      </w:r>
      <w:r w:rsidR="00BE2546" w:rsidRPr="001763AE">
        <w:t xml:space="preserve">nit </w:t>
      </w:r>
      <w:r w:rsidR="00840621" w:rsidRPr="001763AE">
        <w:t>within the association, but it was</w:t>
      </w:r>
      <w:r w:rsidR="008364C6" w:rsidRPr="001763AE">
        <w:t xml:space="preserve"> probably too early in the development of the Association to expect it to be able to support a BDU at this stage</w:t>
      </w:r>
      <w:r w:rsidR="00427F20" w:rsidRPr="001763AE">
        <w:t>.</w:t>
      </w:r>
    </w:p>
    <w:p w:rsidR="00427F20" w:rsidRPr="001763AE" w:rsidRDefault="00B73A89" w:rsidP="00DB28F8">
      <w:pPr>
        <w:pStyle w:val="NumberedPara"/>
        <w:numPr>
          <w:ilvl w:val="0"/>
          <w:numId w:val="0"/>
        </w:numPr>
      </w:pPr>
      <w:r w:rsidRPr="001763AE">
        <w:t>The Association has also assumed the role of the Coordination Unit of the Carpathian Network of Protected Areas, hosting</w:t>
      </w:r>
      <w:r w:rsidR="006E16CE" w:rsidRPr="001763AE">
        <w:t xml:space="preserve"> </w:t>
      </w:r>
      <w:r w:rsidRPr="001763AE">
        <w:t>the CNPA website; it has</w:t>
      </w:r>
      <w:r w:rsidR="006E16CE" w:rsidRPr="001763AE">
        <w:t xml:space="preserve"> </w:t>
      </w:r>
      <w:r w:rsidRPr="001763AE">
        <w:t>negotiated an annual support package</w:t>
      </w:r>
      <w:r w:rsidR="006E16CE" w:rsidRPr="001763AE">
        <w:t xml:space="preserve"> </w:t>
      </w:r>
      <w:r w:rsidRPr="001763AE">
        <w:t>from a company in the energy sector</w:t>
      </w:r>
      <w:r w:rsidR="006E16CE" w:rsidRPr="001763AE">
        <w:t xml:space="preserve"> </w:t>
      </w:r>
      <w:r w:rsidRPr="001763AE">
        <w:t>to</w:t>
      </w:r>
      <w:r w:rsidR="006C3433" w:rsidRPr="001763AE">
        <w:t xml:space="preserve"> help it</w:t>
      </w:r>
      <w:r w:rsidRPr="001763AE">
        <w:t xml:space="preserve"> fulfil this role</w:t>
      </w:r>
      <w:r w:rsidR="00427F20" w:rsidRPr="001763AE">
        <w:t>.</w:t>
      </w:r>
    </w:p>
    <w:p w:rsidR="006A39E4" w:rsidRPr="001763AE" w:rsidRDefault="006A39E4" w:rsidP="006A39E4">
      <w:pPr>
        <w:pStyle w:val="Heading6"/>
      </w:pPr>
      <w:r w:rsidRPr="001763AE">
        <w:t>Evaluation</w:t>
      </w:r>
    </w:p>
    <w:p w:rsidR="006A39E4" w:rsidRPr="001763AE" w:rsidRDefault="006A39E4" w:rsidP="006A39E4">
      <w:r w:rsidRPr="001763AE">
        <w:t xml:space="preserve">This output is evaluated as </w:t>
      </w:r>
      <w:r w:rsidRPr="001763AE">
        <w:rPr>
          <w:b/>
        </w:rPr>
        <w:t>Highly Satisfactory</w:t>
      </w:r>
      <w:r w:rsidR="00C45E97" w:rsidRPr="001763AE">
        <w:rPr>
          <w:b/>
        </w:rPr>
        <w:t xml:space="preserve">. </w:t>
      </w:r>
      <w:r w:rsidR="00C45E97" w:rsidRPr="001763AE">
        <w:t>It is an important and original achievement with potential for continuing many of the activities</w:t>
      </w:r>
      <w:r w:rsidR="00C76CE9" w:rsidRPr="001763AE">
        <w:t xml:space="preserve"> </w:t>
      </w:r>
      <w:r w:rsidR="00C45E97" w:rsidRPr="001763AE">
        <w:t>of the project.</w:t>
      </w:r>
    </w:p>
    <w:p w:rsidR="00C72A95" w:rsidRPr="001763AE" w:rsidRDefault="00C72A95" w:rsidP="00C72A95">
      <w:pPr>
        <w:pStyle w:val="Heading5"/>
      </w:pPr>
      <w:r w:rsidRPr="001763AE">
        <w:t>Output 2</w:t>
      </w:r>
      <w:r w:rsidR="006C3433" w:rsidRPr="001763AE">
        <w:t>.</w:t>
      </w:r>
      <w:r w:rsidRPr="001763AE">
        <w:t>3: Improved information management linking PA management plans (programs and activities) with financial management/accounting system</w:t>
      </w:r>
    </w:p>
    <w:p w:rsidR="00427F20" w:rsidRPr="001763AE" w:rsidRDefault="00A63A5A" w:rsidP="00A63A5A">
      <w:pPr>
        <w:pStyle w:val="Heading6"/>
      </w:pPr>
      <w:r w:rsidRPr="001763AE">
        <w:t>Indic</w:t>
      </w:r>
      <w:r w:rsidR="006C3433" w:rsidRPr="001763AE">
        <w:t>ators: PA</w:t>
      </w:r>
      <w:r w:rsidRPr="001763AE">
        <w:t xml:space="preserve"> conservation targets linked to programmes and activities through a</w:t>
      </w:r>
      <w:r w:rsidR="006E16CE" w:rsidRPr="001763AE">
        <w:t xml:space="preserve"> </w:t>
      </w:r>
      <w:r w:rsidRPr="001763AE">
        <w:t>functioning financial management system (FMS); Metrics link conservation goals with costs</w:t>
      </w:r>
      <w:r w:rsidR="00790AD4" w:rsidRPr="001763AE">
        <w:t xml:space="preserve"> </w:t>
      </w:r>
      <w:r w:rsidR="001E662A" w:rsidRPr="001763AE">
        <w:t>;</w:t>
      </w:r>
      <w:r w:rsidRPr="001763AE">
        <w:t>Traceable expenses, costs, needs and gaps by programme</w:t>
      </w:r>
      <w:r w:rsidR="00427F20" w:rsidRPr="001763AE">
        <w:t>.</w:t>
      </w:r>
    </w:p>
    <w:p w:rsidR="00427F20" w:rsidRPr="001763AE" w:rsidRDefault="00A63A5A" w:rsidP="00DB28F8">
      <w:pPr>
        <w:pStyle w:val="NumberedPara"/>
        <w:numPr>
          <w:ilvl w:val="0"/>
          <w:numId w:val="0"/>
        </w:numPr>
      </w:pPr>
      <w:r w:rsidRPr="001763AE">
        <w:t xml:space="preserve">This </w:t>
      </w:r>
      <w:r w:rsidR="00D96BA8" w:rsidRPr="001763AE">
        <w:t>output</w:t>
      </w:r>
      <w:r w:rsidRPr="001763AE">
        <w:t xml:space="preserve"> has </w:t>
      </w:r>
      <w:r w:rsidR="00C72A95" w:rsidRPr="001763AE">
        <w:t>been one of</w:t>
      </w:r>
      <w:r w:rsidR="006E16CE" w:rsidRPr="001763AE">
        <w:t xml:space="preserve"> </w:t>
      </w:r>
      <w:r w:rsidR="00C72A95" w:rsidRPr="001763AE">
        <w:t>the most outstanding and durable</w:t>
      </w:r>
      <w:r w:rsidRPr="001763AE">
        <w:t xml:space="preserve"> achievements of the project, as shown in the results of the questionnaire</w:t>
      </w:r>
      <w:r w:rsidR="00427F20" w:rsidRPr="001763AE">
        <w:t xml:space="preserve">. </w:t>
      </w:r>
      <w:r w:rsidR="00562426" w:rsidRPr="001763AE">
        <w:t>Development of the FMS took place through a number of well-planned stages</w:t>
      </w:r>
      <w:r w:rsidR="00D87364">
        <w:t>,</w:t>
      </w:r>
      <w:r w:rsidR="00562426" w:rsidRPr="001763AE">
        <w:t xml:space="preserve"> from data gathering</w:t>
      </w:r>
      <w:r w:rsidR="00D96BA8" w:rsidRPr="001763AE">
        <w:t>,</w:t>
      </w:r>
      <w:r w:rsidR="00562426" w:rsidRPr="001763AE">
        <w:t xml:space="preserve"> through design to software development</w:t>
      </w:r>
      <w:r w:rsidR="00D96BA8" w:rsidRPr="001763AE">
        <w:t>,</w:t>
      </w:r>
      <w:r w:rsidR="00562426" w:rsidRPr="001763AE">
        <w:t xml:space="preserve"> training and implementation, under the guidance of the international lead consultant, but increasingly led by the chief accountant from one of the pilot protected areas</w:t>
      </w:r>
      <w:r w:rsidR="00427F20" w:rsidRPr="001763AE">
        <w:t xml:space="preserve">. </w:t>
      </w:r>
      <w:r w:rsidR="00562426" w:rsidRPr="001763AE">
        <w:t>The software development work was done by a local company</w:t>
      </w:r>
      <w:r w:rsidR="00427F20" w:rsidRPr="001763AE">
        <w:t>.</w:t>
      </w:r>
    </w:p>
    <w:p w:rsidR="00427F20" w:rsidRPr="001763AE" w:rsidRDefault="006F295E" w:rsidP="00DB28F8">
      <w:pPr>
        <w:pStyle w:val="NumberedPara"/>
        <w:numPr>
          <w:ilvl w:val="0"/>
          <w:numId w:val="0"/>
        </w:numPr>
      </w:pPr>
      <w:r w:rsidRPr="001763AE">
        <w:t xml:space="preserve">Setting up the </w:t>
      </w:r>
      <w:r w:rsidR="00562426" w:rsidRPr="001763AE">
        <w:t xml:space="preserve">FMS </w:t>
      </w:r>
      <w:r w:rsidRPr="001763AE">
        <w:t>starts with</w:t>
      </w:r>
      <w:r w:rsidR="007340AE" w:rsidRPr="001763AE">
        <w:t xml:space="preserve"> </w:t>
      </w:r>
      <w:r w:rsidR="005B2703" w:rsidRPr="001763AE">
        <w:t xml:space="preserve">the </w:t>
      </w:r>
      <w:r w:rsidR="00C72A95" w:rsidRPr="001763AE">
        <w:t>management plans</w:t>
      </w:r>
      <w:r w:rsidR="006E16CE" w:rsidRPr="001763AE">
        <w:t xml:space="preserve"> </w:t>
      </w:r>
      <w:r w:rsidR="00C72A95" w:rsidRPr="001763AE">
        <w:t>d</w:t>
      </w:r>
      <w:r w:rsidR="00A63A5A" w:rsidRPr="001763AE">
        <w:t xml:space="preserve">eveloped by the protected areas; </w:t>
      </w:r>
      <w:r w:rsidRPr="001763AE">
        <w:t>each activity is costed and grouped into programmes and subprogrammes standardised across the system</w:t>
      </w:r>
      <w:r w:rsidR="00427F20" w:rsidRPr="001763AE">
        <w:t xml:space="preserve">. </w:t>
      </w:r>
      <w:r w:rsidR="007340AE" w:rsidRPr="001763AE">
        <w:t>Budgets are</w:t>
      </w:r>
      <w:r w:rsidR="006E16CE" w:rsidRPr="001763AE">
        <w:t xml:space="preserve"> </w:t>
      </w:r>
      <w:r w:rsidR="00D96BA8" w:rsidRPr="001763AE">
        <w:t xml:space="preserve">then </w:t>
      </w:r>
      <w:r w:rsidR="007340AE" w:rsidRPr="001763AE">
        <w:t>generated both for minimum and for ideal achievement of conservation goals</w:t>
      </w:r>
      <w:r w:rsidR="00427F20" w:rsidRPr="001763AE">
        <w:t xml:space="preserve">. </w:t>
      </w:r>
      <w:r w:rsidRPr="001763AE">
        <w:t xml:space="preserve">In this way, </w:t>
      </w:r>
      <w:r w:rsidR="006F2244" w:rsidRPr="001763AE">
        <w:t xml:space="preserve">activities, income and </w:t>
      </w:r>
      <w:r w:rsidR="007340AE" w:rsidRPr="001763AE">
        <w:t xml:space="preserve">expenditure </w:t>
      </w:r>
      <w:r w:rsidRPr="001763AE">
        <w:t xml:space="preserve">can be allocated to specific </w:t>
      </w:r>
      <w:r w:rsidR="00C72A95" w:rsidRPr="001763AE">
        <w:t xml:space="preserve">programmes </w:t>
      </w:r>
      <w:r w:rsidRPr="001763AE">
        <w:t>and subprogrammes, progress towards conservation goals can be tracked</w:t>
      </w:r>
      <w:r w:rsidR="007340AE" w:rsidRPr="001763AE">
        <w:t xml:space="preserve">, </w:t>
      </w:r>
      <w:r w:rsidRPr="001763AE">
        <w:t>financial performance monitored and funding gaps identified</w:t>
      </w:r>
      <w:r w:rsidR="00427F20" w:rsidRPr="001763AE">
        <w:t xml:space="preserve">. </w:t>
      </w:r>
      <w:r w:rsidR="006F2244" w:rsidRPr="001763AE">
        <w:t xml:space="preserve">A </w:t>
      </w:r>
      <w:r w:rsidR="008D587C" w:rsidRPr="001763AE">
        <w:t>menu-driven online timesheet</w:t>
      </w:r>
      <w:r w:rsidR="006E16CE" w:rsidRPr="001763AE">
        <w:t xml:space="preserve"> </w:t>
      </w:r>
      <w:r w:rsidR="006F2244" w:rsidRPr="001763AE">
        <w:t>completed by staff enables</w:t>
      </w:r>
      <w:r w:rsidR="006E16CE" w:rsidRPr="001763AE">
        <w:t xml:space="preserve"> </w:t>
      </w:r>
      <w:r w:rsidR="008D587C" w:rsidRPr="001763AE">
        <w:t>management activities</w:t>
      </w:r>
      <w:r w:rsidR="006E16CE" w:rsidRPr="001763AE">
        <w:t xml:space="preserve"> </w:t>
      </w:r>
      <w:r w:rsidR="008D587C" w:rsidRPr="001763AE">
        <w:t>to be</w:t>
      </w:r>
      <w:r w:rsidR="006E16CE" w:rsidRPr="001763AE">
        <w:t xml:space="preserve"> </w:t>
      </w:r>
      <w:r w:rsidR="006F2244" w:rsidRPr="001763AE">
        <w:t xml:space="preserve">more accurately tracked and </w:t>
      </w:r>
      <w:r w:rsidR="008D587C" w:rsidRPr="001763AE">
        <w:t>associated with co</w:t>
      </w:r>
      <w:r w:rsidR="006F2244" w:rsidRPr="001763AE">
        <w:t>sts</w:t>
      </w:r>
      <w:r w:rsidR="006E16CE" w:rsidRPr="001763AE">
        <w:t xml:space="preserve"> </w:t>
      </w:r>
      <w:r w:rsidR="006F2244" w:rsidRPr="001763AE">
        <w:t>and sources of</w:t>
      </w:r>
      <w:r w:rsidR="006E16CE" w:rsidRPr="001763AE">
        <w:t xml:space="preserve"> </w:t>
      </w:r>
      <w:r w:rsidR="006F2244" w:rsidRPr="001763AE">
        <w:t>funding</w:t>
      </w:r>
      <w:r w:rsidR="00427F20" w:rsidRPr="001763AE">
        <w:t xml:space="preserve">. </w:t>
      </w:r>
      <w:r w:rsidR="007340AE" w:rsidRPr="001763AE">
        <w:t>FMS functions</w:t>
      </w:r>
      <w:r w:rsidR="006E16CE" w:rsidRPr="001763AE">
        <w:t xml:space="preserve"> </w:t>
      </w:r>
      <w:r w:rsidR="008D587C" w:rsidRPr="001763AE">
        <w:t>online</w:t>
      </w:r>
      <w:r w:rsidR="007340AE" w:rsidRPr="001763AE">
        <w:t xml:space="preserve">; </w:t>
      </w:r>
      <w:r w:rsidR="008D587C" w:rsidRPr="001763AE">
        <w:t>protected area directors</w:t>
      </w:r>
      <w:r w:rsidR="006E16CE" w:rsidRPr="001763AE">
        <w:t xml:space="preserve"> </w:t>
      </w:r>
      <w:r w:rsidR="008D587C" w:rsidRPr="001763AE">
        <w:t>and heads of</w:t>
      </w:r>
      <w:r w:rsidR="006F2244" w:rsidRPr="001763AE">
        <w:t xml:space="preserve"> finance</w:t>
      </w:r>
      <w:r w:rsidR="006E16CE" w:rsidRPr="001763AE">
        <w:t xml:space="preserve"> </w:t>
      </w:r>
      <w:r w:rsidR="007340AE" w:rsidRPr="001763AE">
        <w:t>and staff</w:t>
      </w:r>
      <w:r w:rsidR="00D96BA8" w:rsidRPr="001763AE">
        <w:t xml:space="preserve"> (with appropriate access permissions</w:t>
      </w:r>
      <w:r w:rsidR="007340AE" w:rsidRPr="001763AE">
        <w:t xml:space="preserve">) </w:t>
      </w:r>
      <w:r w:rsidR="006F2244" w:rsidRPr="001763AE">
        <w:t>have</w:t>
      </w:r>
      <w:r w:rsidR="006E16CE" w:rsidRPr="001763AE">
        <w:t xml:space="preserve"> </w:t>
      </w:r>
      <w:r w:rsidR="006F2244" w:rsidRPr="001763AE">
        <w:t xml:space="preserve">learned to use </w:t>
      </w:r>
      <w:r w:rsidR="007340AE" w:rsidRPr="001763AE">
        <w:t>the</w:t>
      </w:r>
      <w:r w:rsidR="006E16CE" w:rsidRPr="001763AE">
        <w:t xml:space="preserve"> </w:t>
      </w:r>
      <w:r w:rsidR="007340AE" w:rsidRPr="001763AE">
        <w:t>system at</w:t>
      </w:r>
      <w:r w:rsidR="006F2244" w:rsidRPr="001763AE">
        <w:t xml:space="preserve"> site level, and data from </w:t>
      </w:r>
      <w:r w:rsidR="007340AE" w:rsidRPr="001763AE">
        <w:t>FMS</w:t>
      </w:r>
      <w:r w:rsidR="006F2244" w:rsidRPr="001763AE">
        <w:t xml:space="preserve"> can be aggregated and monitored at the central level</w:t>
      </w:r>
      <w:r w:rsidR="00427F20" w:rsidRPr="001763AE">
        <w:t>.</w:t>
      </w:r>
    </w:p>
    <w:p w:rsidR="00427F20" w:rsidRPr="001763AE" w:rsidRDefault="00562426" w:rsidP="00DB28F8">
      <w:pPr>
        <w:pStyle w:val="NumberedPara"/>
        <w:numPr>
          <w:ilvl w:val="0"/>
          <w:numId w:val="0"/>
        </w:numPr>
      </w:pPr>
      <w:r w:rsidRPr="001763AE">
        <w:t xml:space="preserve">The </w:t>
      </w:r>
      <w:r w:rsidR="00CC3DF3" w:rsidRPr="001763AE">
        <w:t>NFA now requires all protected areas under its administration to use the system, which is also being strongly promoted for adoption by administrations of Natura 2000 sites under the MoECC</w:t>
      </w:r>
      <w:r w:rsidR="00427F20" w:rsidRPr="001763AE">
        <w:t xml:space="preserve">. </w:t>
      </w:r>
      <w:r w:rsidRPr="001763AE">
        <w:t>One disadvantage of the system is that it has to be operated in parallel with the central accou</w:t>
      </w:r>
      <w:r w:rsidR="00D96BA8" w:rsidRPr="001763AE">
        <w:t xml:space="preserve">nting system of the NFA, which </w:t>
      </w:r>
      <w:r w:rsidRPr="001763AE">
        <w:t>create</w:t>
      </w:r>
      <w:r w:rsidR="00D96BA8" w:rsidRPr="001763AE">
        <w:t>s</w:t>
      </w:r>
      <w:r w:rsidRPr="001763AE">
        <w:t xml:space="preserve"> extra work for protected area administrations</w:t>
      </w:r>
      <w:r w:rsidR="00D96BA8" w:rsidRPr="001763AE">
        <w:t>,</w:t>
      </w:r>
      <w:r w:rsidRPr="001763AE">
        <w:t xml:space="preserve"> but this was considered worthwhile taking into account the usefulness of the system</w:t>
      </w:r>
      <w:r w:rsidR="00427F20" w:rsidRPr="001763AE">
        <w:t>.</w:t>
      </w:r>
    </w:p>
    <w:p w:rsidR="00427F20" w:rsidRPr="001763AE" w:rsidRDefault="00E2271C" w:rsidP="00DB28F8">
      <w:pPr>
        <w:pStyle w:val="NumberedPara"/>
        <w:numPr>
          <w:ilvl w:val="0"/>
          <w:numId w:val="0"/>
        </w:numPr>
      </w:pPr>
      <w:r w:rsidRPr="001763AE">
        <w:t xml:space="preserve">FMS is an important product that has been shown to work </w:t>
      </w:r>
      <w:r>
        <w:t xml:space="preserve">and to </w:t>
      </w:r>
      <w:r w:rsidRPr="001763AE">
        <w:t xml:space="preserve">be practically useful; as such, it could be adapted for use in many countries. </w:t>
      </w:r>
      <w:r w:rsidR="00D96BA8" w:rsidRPr="001763AE">
        <w:t>I</w:t>
      </w:r>
      <w:r w:rsidR="005B2703" w:rsidRPr="001763AE">
        <w:t>t</w:t>
      </w:r>
      <w:r w:rsidR="007340AE" w:rsidRPr="001763AE">
        <w:t xml:space="preserve"> has already been demonstrated </w:t>
      </w:r>
      <w:r w:rsidR="00D96BA8" w:rsidRPr="001763AE">
        <w:t>to other CNPA countries.</w:t>
      </w:r>
      <w:r w:rsidR="00427F20" w:rsidRPr="001763AE">
        <w:t xml:space="preserve"> </w:t>
      </w:r>
      <w:r w:rsidR="007340AE" w:rsidRPr="001763AE">
        <w:t>It is hoped that the NFA</w:t>
      </w:r>
      <w:r w:rsidR="005B2703" w:rsidRPr="001763AE">
        <w:t>,</w:t>
      </w:r>
      <w:r w:rsidR="007340AE" w:rsidRPr="001763AE">
        <w:t xml:space="preserve"> as </w:t>
      </w:r>
      <w:r w:rsidR="00D96BA8" w:rsidRPr="001763AE">
        <w:t>‘</w:t>
      </w:r>
      <w:r w:rsidR="007340AE" w:rsidRPr="001763AE">
        <w:t>owner</w:t>
      </w:r>
      <w:r w:rsidR="00D96BA8" w:rsidRPr="001763AE">
        <w:t>’</w:t>
      </w:r>
      <w:r w:rsidR="007340AE" w:rsidRPr="001763AE">
        <w:t xml:space="preserve"> of</w:t>
      </w:r>
      <w:r w:rsidR="00D96BA8" w:rsidRPr="001763AE">
        <w:t xml:space="preserve"> the FMS</w:t>
      </w:r>
      <w:r w:rsidR="007340AE" w:rsidRPr="001763AE">
        <w:t xml:space="preserve"> </w:t>
      </w:r>
      <w:r w:rsidR="005B2703" w:rsidRPr="001763AE">
        <w:t>,</w:t>
      </w:r>
      <w:r w:rsidR="007340AE" w:rsidRPr="001763AE">
        <w:t xml:space="preserve"> will continue to use and develop it</w:t>
      </w:r>
      <w:r w:rsidR="00427F20" w:rsidRPr="001763AE">
        <w:t xml:space="preserve">. </w:t>
      </w:r>
      <w:r w:rsidR="005B2703" w:rsidRPr="001763AE">
        <w:t>It is also hoped that the MoECC</w:t>
      </w:r>
      <w:r w:rsidR="00576E1A">
        <w:t xml:space="preserve">, which is already requiring the use of the system </w:t>
      </w:r>
      <w:r w:rsidR="005B2703" w:rsidRPr="001763AE">
        <w:t>for Natura 2000 sites</w:t>
      </w:r>
      <w:r w:rsidR="00576E1A">
        <w:t xml:space="preserve">, will ensure that </w:t>
      </w:r>
      <w:r w:rsidR="005B2703" w:rsidRPr="001763AE">
        <w:t>the new online management planning system that it is developing is entirely integrated with FMS</w:t>
      </w:r>
      <w:r w:rsidR="00427F20" w:rsidRPr="001763AE">
        <w:t>.</w:t>
      </w:r>
    </w:p>
    <w:p w:rsidR="006A39E4" w:rsidRPr="001763AE" w:rsidRDefault="006A39E4" w:rsidP="006A39E4">
      <w:pPr>
        <w:pStyle w:val="Heading6"/>
      </w:pPr>
      <w:r w:rsidRPr="001763AE">
        <w:t>Evaluation</w:t>
      </w:r>
    </w:p>
    <w:p w:rsidR="006A39E4" w:rsidRPr="001763AE" w:rsidRDefault="006A39E4" w:rsidP="006A39E4">
      <w:r w:rsidRPr="001763AE">
        <w:t xml:space="preserve">This output is evaluated as </w:t>
      </w:r>
      <w:r w:rsidRPr="001763AE">
        <w:rPr>
          <w:b/>
        </w:rPr>
        <w:t>Highly Satisfactory</w:t>
      </w:r>
    </w:p>
    <w:p w:rsidR="005B2703" w:rsidRPr="001763AE" w:rsidRDefault="005B2703" w:rsidP="005B2703">
      <w:pPr>
        <w:pStyle w:val="Heading5"/>
      </w:pPr>
      <w:r w:rsidRPr="001763AE">
        <w:t>Output 2</w:t>
      </w:r>
      <w:r w:rsidR="006C3433" w:rsidRPr="001763AE">
        <w:t>.4</w:t>
      </w:r>
      <w:r w:rsidRPr="001763AE">
        <w:t xml:space="preserve"> A public PA management committee strengthened and with new mandate to monitor revenue and expenditure of PAs</w:t>
      </w:r>
    </w:p>
    <w:p w:rsidR="00427F20" w:rsidRPr="001763AE" w:rsidRDefault="00A356AA" w:rsidP="00DB28F8">
      <w:pPr>
        <w:pStyle w:val="NumberedPara"/>
        <w:numPr>
          <w:ilvl w:val="0"/>
          <w:numId w:val="0"/>
        </w:numPr>
      </w:pPr>
      <w:r w:rsidRPr="001763AE">
        <w:t>This output was removed during the inception process with</w:t>
      </w:r>
      <w:r w:rsidR="006E16CE" w:rsidRPr="001763AE">
        <w:t xml:space="preserve"> </w:t>
      </w:r>
      <w:r w:rsidRPr="001763AE">
        <w:t>the following justification: ‘</w:t>
      </w:r>
      <w:r w:rsidRPr="001763AE">
        <w:rPr>
          <w:i/>
        </w:rPr>
        <w:t>The participants suggested to remove this output and add the tasks of this ‘Committee’</w:t>
      </w:r>
      <w:r w:rsidR="006E16CE" w:rsidRPr="001763AE">
        <w:rPr>
          <w:i/>
        </w:rPr>
        <w:t xml:space="preserve"> </w:t>
      </w:r>
      <w:r w:rsidRPr="001763AE">
        <w:rPr>
          <w:i/>
        </w:rPr>
        <w:t>to the established ‘Association of Legal Entities Administering Protected Areas’ envisaged under Output 2</w:t>
      </w:r>
      <w:r w:rsidR="007C63A9" w:rsidRPr="001763AE">
        <w:rPr>
          <w:i/>
        </w:rPr>
        <w:t>.2</w:t>
      </w:r>
      <w:r w:rsidR="00427F20" w:rsidRPr="001763AE">
        <w:rPr>
          <w:i/>
        </w:rPr>
        <w:t xml:space="preserve">. </w:t>
      </w:r>
      <w:r w:rsidRPr="001763AE">
        <w:rPr>
          <w:i/>
        </w:rPr>
        <w:t>Moreover, nearly all of the tasks of the Committee are enacted under current legislation and creation of a new body responsible for the financial audit would not be justifiable, considering that the Association can perform all of the tasks</w:t>
      </w:r>
      <w:r w:rsidR="00427F20" w:rsidRPr="001763AE">
        <w:rPr>
          <w:i/>
        </w:rPr>
        <w:t xml:space="preserve">. </w:t>
      </w:r>
      <w:r w:rsidRPr="001763AE">
        <w:rPr>
          <w:i/>
        </w:rPr>
        <w:t xml:space="preserve">’ </w:t>
      </w:r>
      <w:r w:rsidRPr="001763AE">
        <w:t>Consequently this output is not evaluated</w:t>
      </w:r>
      <w:r w:rsidR="00427F20" w:rsidRPr="001763AE">
        <w:t>.</w:t>
      </w:r>
    </w:p>
    <w:p w:rsidR="00940762" w:rsidRPr="001763AE" w:rsidRDefault="00347D9F" w:rsidP="00370DF0">
      <w:pPr>
        <w:pStyle w:val="Heading5"/>
      </w:pPr>
      <w:r w:rsidRPr="001763AE">
        <w:t>Output 2</w:t>
      </w:r>
      <w:r w:rsidR="006C3433" w:rsidRPr="001763AE">
        <w:t>.5</w:t>
      </w:r>
      <w:r w:rsidRPr="001763AE">
        <w:t xml:space="preserve">: </w:t>
      </w:r>
      <w:r w:rsidR="00370DF0" w:rsidRPr="001763AE">
        <w:t>Lessons and knowledge documented and transferred to key actors representing PAs from other Carpathian countries</w:t>
      </w:r>
    </w:p>
    <w:p w:rsidR="00427F20" w:rsidRPr="001763AE" w:rsidRDefault="001E662A" w:rsidP="00DB28F8">
      <w:pPr>
        <w:pStyle w:val="NumberedPara"/>
        <w:numPr>
          <w:ilvl w:val="0"/>
          <w:numId w:val="0"/>
        </w:numPr>
      </w:pPr>
      <w:r w:rsidRPr="001763AE">
        <w:t>Following the inception workshop, this output replaced the previous output of ‘</w:t>
      </w:r>
      <w:r w:rsidR="00B73A89" w:rsidRPr="00576E1A">
        <w:rPr>
          <w:i/>
        </w:rPr>
        <w:t>Experience from lessons learned is periodically feed into yearly planning</w:t>
      </w:r>
      <w:r w:rsidRPr="001763AE">
        <w:t>’</w:t>
      </w:r>
      <w:r w:rsidR="00FE20BB" w:rsidRPr="001763AE">
        <w:t xml:space="preserve"> </w:t>
      </w:r>
      <w:r w:rsidRPr="001763AE">
        <w:t>and adds an important regional dimension to the project.</w:t>
      </w:r>
    </w:p>
    <w:p w:rsidR="00427F20" w:rsidRPr="001763AE" w:rsidRDefault="008368CE" w:rsidP="00DB28F8">
      <w:pPr>
        <w:pStyle w:val="NumberedPara"/>
        <w:numPr>
          <w:ilvl w:val="0"/>
          <w:numId w:val="0"/>
        </w:numPr>
      </w:pPr>
      <w:r w:rsidRPr="001763AE">
        <w:t>The project’s dissemination plan revolved around th</w:t>
      </w:r>
      <w:r w:rsidR="00D87364">
        <w:t>e establishment of a ‘learning c</w:t>
      </w:r>
      <w:r w:rsidRPr="001763AE">
        <w:t>ommunity of protected areas in the Carpathians</w:t>
      </w:r>
      <w:r w:rsidR="00B318D1" w:rsidRPr="001763AE">
        <w:t xml:space="preserve">’ which, while originally conceived to be a quite broad programme, was subsequently focused on disseminating and promoting adoption of the tools developed by the project for improved financial planning and management of protected areas. </w:t>
      </w:r>
      <w:r w:rsidR="00CF69DD" w:rsidRPr="001763AE">
        <w:t xml:space="preserve">The main </w:t>
      </w:r>
      <w:r w:rsidR="000D395F" w:rsidRPr="001763AE">
        <w:t xml:space="preserve">channel </w:t>
      </w:r>
      <w:r w:rsidR="00B318D1" w:rsidRPr="001763AE">
        <w:t xml:space="preserve">for this work </w:t>
      </w:r>
      <w:r w:rsidR="00CF69DD" w:rsidRPr="001763AE">
        <w:t xml:space="preserve">has been </w:t>
      </w:r>
      <w:r w:rsidR="000D395F" w:rsidRPr="001763AE">
        <w:t>the Carpathian Network of Protected Areas</w:t>
      </w:r>
      <w:r w:rsidR="00B318D1" w:rsidRPr="001763AE">
        <w:t xml:space="preserve">, at whose </w:t>
      </w:r>
      <w:r w:rsidR="000D395F" w:rsidRPr="001763AE">
        <w:rPr>
          <w:lang w:eastAsia="en-GB"/>
        </w:rPr>
        <w:t xml:space="preserve">Steering Committee Meeting </w:t>
      </w:r>
      <w:r w:rsidR="00A113DB" w:rsidRPr="001763AE">
        <w:rPr>
          <w:lang w:eastAsia="en-GB"/>
        </w:rPr>
        <w:t xml:space="preserve">in </w:t>
      </w:r>
      <w:r w:rsidR="000D395F" w:rsidRPr="001763AE">
        <w:rPr>
          <w:lang w:eastAsia="en-GB"/>
        </w:rPr>
        <w:t xml:space="preserve">March 2012, </w:t>
      </w:r>
      <w:r w:rsidR="00A113DB" w:rsidRPr="001763AE">
        <w:t xml:space="preserve">a core working group on </w:t>
      </w:r>
      <w:r w:rsidR="000D395F" w:rsidRPr="001763AE">
        <w:t xml:space="preserve">financial management </w:t>
      </w:r>
      <w:r w:rsidR="00A113DB" w:rsidRPr="001763AE">
        <w:t>was established. C</w:t>
      </w:r>
      <w:r w:rsidR="000D395F" w:rsidRPr="001763AE">
        <w:t>urrently</w:t>
      </w:r>
      <w:r w:rsidR="00D5038B" w:rsidRPr="001763AE">
        <w:t>, six</w:t>
      </w:r>
      <w:r w:rsidR="000D395F" w:rsidRPr="001763AE">
        <w:t xml:space="preserve"> Carpathian countries have nominated representatives for the working group</w:t>
      </w:r>
      <w:r w:rsidR="00576E1A">
        <w:t>.</w:t>
      </w:r>
    </w:p>
    <w:p w:rsidR="00427F20" w:rsidRPr="001763AE" w:rsidRDefault="00576E1A" w:rsidP="00DB28F8">
      <w:pPr>
        <w:pStyle w:val="NumberedPara"/>
        <w:numPr>
          <w:ilvl w:val="0"/>
          <w:numId w:val="0"/>
        </w:numPr>
      </w:pPr>
      <w:r>
        <w:t>Dissemination</w:t>
      </w:r>
      <w:r w:rsidR="00A113DB" w:rsidRPr="001763AE">
        <w:t xml:space="preserve"> activities were intensified in 2013. </w:t>
      </w:r>
      <w:r w:rsidR="0023755B" w:rsidRPr="001763AE">
        <w:t>In Januar</w:t>
      </w:r>
      <w:r w:rsidR="00A113DB" w:rsidRPr="001763AE">
        <w:t>y the project team and the pilot p</w:t>
      </w:r>
      <w:r w:rsidR="0023755B" w:rsidRPr="001763AE">
        <w:t xml:space="preserve">arks presented their work </w:t>
      </w:r>
      <w:r w:rsidR="00A113DB" w:rsidRPr="001763AE">
        <w:t xml:space="preserve">as a case study </w:t>
      </w:r>
      <w:r w:rsidR="0023755B" w:rsidRPr="001763AE">
        <w:t>at</w:t>
      </w:r>
      <w:r w:rsidR="006E16CE" w:rsidRPr="001763AE">
        <w:t xml:space="preserve"> </w:t>
      </w:r>
      <w:r w:rsidR="0023755B" w:rsidRPr="001763AE">
        <w:t xml:space="preserve">a training course </w:t>
      </w:r>
      <w:r w:rsidR="00A113DB" w:rsidRPr="001763AE">
        <w:t>in Germany on protected area valuation</w:t>
      </w:r>
      <w:r w:rsidR="00427F20" w:rsidRPr="001763AE">
        <w:t xml:space="preserve">. </w:t>
      </w:r>
      <w:r w:rsidR="00E6025E" w:rsidRPr="001763AE">
        <w:t>In April,</w:t>
      </w:r>
      <w:r w:rsidR="006E16CE" w:rsidRPr="001763AE">
        <w:t xml:space="preserve"> </w:t>
      </w:r>
      <w:r w:rsidR="00A113DB" w:rsidRPr="001763AE">
        <w:t xml:space="preserve">personnel from the </w:t>
      </w:r>
      <w:r w:rsidR="000759ED" w:rsidRPr="001763AE">
        <w:t xml:space="preserve">project participated in </w:t>
      </w:r>
      <w:r w:rsidR="000D395F" w:rsidRPr="001763AE">
        <w:t>the second C</w:t>
      </w:r>
      <w:r w:rsidR="000759ED" w:rsidRPr="001763AE">
        <w:t>NPA meeting in Slovakia</w:t>
      </w:r>
      <w:r w:rsidR="00A113DB" w:rsidRPr="001763AE">
        <w:t xml:space="preserve">. </w:t>
      </w:r>
      <w:r w:rsidR="0023755B" w:rsidRPr="001763AE">
        <w:t xml:space="preserve">The financial analysis methodology </w:t>
      </w:r>
      <w:r w:rsidR="00A113DB" w:rsidRPr="001763AE">
        <w:t xml:space="preserve">developed by the project </w:t>
      </w:r>
      <w:r w:rsidR="0023755B" w:rsidRPr="001763AE">
        <w:t>was presented,</w:t>
      </w:r>
      <w:r w:rsidR="006E16CE" w:rsidRPr="001763AE">
        <w:t xml:space="preserve"> </w:t>
      </w:r>
      <w:r w:rsidR="0023755B" w:rsidRPr="001763AE">
        <w:t>and generated</w:t>
      </w:r>
      <w:r w:rsidR="00A113DB" w:rsidRPr="001763AE">
        <w:t xml:space="preserve"> interest from other countries. As a result</w:t>
      </w:r>
      <w:r w:rsidR="007E31BE" w:rsidRPr="001763AE">
        <w:t>,</w:t>
      </w:r>
      <w:r w:rsidR="00D87364">
        <w:t xml:space="preserve"> </w:t>
      </w:r>
      <w:r w:rsidR="0023755B" w:rsidRPr="001763AE">
        <w:rPr>
          <w:lang w:eastAsia="en-GB"/>
        </w:rPr>
        <w:t xml:space="preserve">coaching was </w:t>
      </w:r>
      <w:r w:rsidR="00A113DB" w:rsidRPr="001763AE">
        <w:rPr>
          <w:lang w:eastAsia="en-GB"/>
        </w:rPr>
        <w:t xml:space="preserve">subsequently </w:t>
      </w:r>
      <w:r w:rsidR="00D87364">
        <w:rPr>
          <w:lang w:eastAsia="en-GB"/>
        </w:rPr>
        <w:t>provided to staff from two</w:t>
      </w:r>
      <w:r w:rsidR="0023755B" w:rsidRPr="001763AE">
        <w:rPr>
          <w:lang w:eastAsia="en-GB"/>
        </w:rPr>
        <w:t xml:space="preserve"> protected area</w:t>
      </w:r>
      <w:r w:rsidR="00A113DB" w:rsidRPr="001763AE">
        <w:rPr>
          <w:lang w:eastAsia="en-GB"/>
        </w:rPr>
        <w:t>s</w:t>
      </w:r>
      <w:r w:rsidR="0023755B" w:rsidRPr="001763AE">
        <w:rPr>
          <w:lang w:eastAsia="en-GB"/>
        </w:rPr>
        <w:t xml:space="preserve"> and from the Nature Protection Agency in </w:t>
      </w:r>
      <w:r w:rsidR="00A113DB" w:rsidRPr="001763AE">
        <w:rPr>
          <w:lang w:eastAsia="en-GB"/>
        </w:rPr>
        <w:t xml:space="preserve">Slovakia. </w:t>
      </w:r>
      <w:r w:rsidR="000759ED" w:rsidRPr="001763AE">
        <w:t xml:space="preserve">In </w:t>
      </w:r>
      <w:r w:rsidR="00A113DB" w:rsidRPr="001763AE">
        <w:t>November</w:t>
      </w:r>
      <w:r w:rsidR="000759ED" w:rsidRPr="001763AE">
        <w:t xml:space="preserve">, the project organised and hosted </w:t>
      </w:r>
      <w:r w:rsidR="000D395F" w:rsidRPr="001763AE">
        <w:t>a</w:t>
      </w:r>
      <w:r w:rsidR="006E16CE" w:rsidRPr="001763AE">
        <w:t xml:space="preserve"> </w:t>
      </w:r>
      <w:r w:rsidR="000D395F" w:rsidRPr="001763AE">
        <w:t>CNPA international knowledge fair in Sinaia Romania</w:t>
      </w:r>
      <w:r w:rsidR="00427F20" w:rsidRPr="001763AE">
        <w:t xml:space="preserve">. </w:t>
      </w:r>
      <w:r w:rsidR="000D395F" w:rsidRPr="001763AE">
        <w:t>The event was attended by more than 50 representatives from 6 Carpathian countries, national experts and international consultants</w:t>
      </w:r>
      <w:r w:rsidR="00427F20" w:rsidRPr="001763AE">
        <w:t xml:space="preserve">. </w:t>
      </w:r>
      <w:r w:rsidR="000D395F" w:rsidRPr="001763AE">
        <w:t xml:space="preserve">The discussions revolved around </w:t>
      </w:r>
      <w:r w:rsidR="00D5038B" w:rsidRPr="001763AE">
        <w:t>PES</w:t>
      </w:r>
      <w:r w:rsidR="000D395F" w:rsidRPr="001763AE">
        <w:t xml:space="preserve"> mechanisms and case studies</w:t>
      </w:r>
      <w:r w:rsidR="001E1202" w:rsidRPr="001763AE">
        <w:t xml:space="preserve">, providing evidence of how sustainable management of </w:t>
      </w:r>
      <w:r w:rsidR="000D395F" w:rsidRPr="001763AE">
        <w:t xml:space="preserve">Carpathian protected areas </w:t>
      </w:r>
      <w:r w:rsidR="001E1202" w:rsidRPr="001763AE">
        <w:t xml:space="preserve">can </w:t>
      </w:r>
      <w:r w:rsidR="00D5038B" w:rsidRPr="001763AE">
        <w:t>support</w:t>
      </w:r>
      <w:r w:rsidR="000D395F" w:rsidRPr="001763AE">
        <w:t xml:space="preserve"> productivity in key economic sectors such as tourism, forestry and agriculture</w:t>
      </w:r>
      <w:r w:rsidR="00427F20" w:rsidRPr="001763AE">
        <w:t xml:space="preserve">. </w:t>
      </w:r>
      <w:r w:rsidR="00C45318">
        <w:t>T</w:t>
      </w:r>
      <w:r w:rsidR="0023755B" w:rsidRPr="001763AE">
        <w:t>he eLearning platform on sustainable financing of protected areas was presented</w:t>
      </w:r>
      <w:r w:rsidR="001E1202" w:rsidRPr="001763AE">
        <w:t xml:space="preserve"> </w:t>
      </w:r>
      <w:r w:rsidR="00C45318">
        <w:t xml:space="preserve">at the meeting </w:t>
      </w:r>
      <w:r w:rsidR="001E1202" w:rsidRPr="001763AE">
        <w:t>and feedback solicited from partici</w:t>
      </w:r>
      <w:r w:rsidR="0023755B" w:rsidRPr="001763AE">
        <w:t>p</w:t>
      </w:r>
      <w:r w:rsidR="001E1202" w:rsidRPr="001763AE">
        <w:t>a</w:t>
      </w:r>
      <w:r w:rsidR="0023755B" w:rsidRPr="001763AE">
        <w:t>nts</w:t>
      </w:r>
      <w:r w:rsidR="00427F20" w:rsidRPr="001763AE">
        <w:t>.</w:t>
      </w:r>
    </w:p>
    <w:p w:rsidR="0025256D" w:rsidRDefault="00121DE0" w:rsidP="00DB28F8">
      <w:pPr>
        <w:pStyle w:val="NumberedPara"/>
        <w:numPr>
          <w:ilvl w:val="0"/>
          <w:numId w:val="0"/>
        </w:numPr>
        <w:rPr>
          <w:bCs/>
        </w:rPr>
      </w:pPr>
      <w:r w:rsidRPr="001763AE">
        <w:t>The project results were present</w:t>
      </w:r>
      <w:r w:rsidR="00EF1A74">
        <w:t>ed to the Carpathian Convention</w:t>
      </w:r>
      <w:r w:rsidRPr="001763AE">
        <w:t xml:space="preserve"> meetings in Prague in 2013 and will be included in CoP meeting agenda for September 2014.</w:t>
      </w:r>
      <w:r w:rsidR="00684FB0" w:rsidRPr="001763AE">
        <w:t xml:space="preserve"> </w:t>
      </w:r>
      <w:r w:rsidR="00684FB0" w:rsidRPr="001763AE">
        <w:rPr>
          <w:bCs/>
        </w:rPr>
        <w:t>The results were also presented and discussed in June 2014 at the joint final conference in Poiana Brasov of the EU funded BioRegio Carpathians project and this project.</w:t>
      </w:r>
    </w:p>
    <w:p w:rsidR="007E31BE" w:rsidRPr="001763AE" w:rsidRDefault="00C45E97" w:rsidP="00DB28F8">
      <w:pPr>
        <w:pStyle w:val="NumberedPara"/>
        <w:numPr>
          <w:ilvl w:val="0"/>
          <w:numId w:val="0"/>
        </w:numPr>
        <w:rPr>
          <w:bCs/>
        </w:rPr>
      </w:pPr>
      <w:r w:rsidRPr="001763AE">
        <w:t>The National Association of Legal Entities Administrating Protected Areas established with support from the project is now fulfilling</w:t>
      </w:r>
      <w:r w:rsidR="007E31BE" w:rsidRPr="001763AE">
        <w:t xml:space="preserve"> th</w:t>
      </w:r>
      <w:r w:rsidR="00EF1A74">
        <w:t>e role of the CNPA S</w:t>
      </w:r>
      <w:r w:rsidR="00684FB0" w:rsidRPr="001763AE">
        <w:t xml:space="preserve">ecretariat </w:t>
      </w:r>
      <w:r w:rsidR="007E31BE" w:rsidRPr="001763AE">
        <w:t>and hosting the e-learning m</w:t>
      </w:r>
      <w:r w:rsidRPr="001763AE">
        <w:t>odule, providing good potential for further dissemination and hopefully adaptation and adoption of project achievements elsewhere in the region.</w:t>
      </w:r>
    </w:p>
    <w:p w:rsidR="00E6025E" w:rsidRPr="001763AE" w:rsidRDefault="00E6025E" w:rsidP="00E6025E">
      <w:pPr>
        <w:pStyle w:val="Heading6"/>
      </w:pPr>
      <w:r w:rsidRPr="001763AE">
        <w:t>Evaluation</w:t>
      </w:r>
    </w:p>
    <w:p w:rsidR="00427F20" w:rsidRPr="001763AE" w:rsidRDefault="007078BF" w:rsidP="00DB28F8">
      <w:pPr>
        <w:pStyle w:val="NumberedPara"/>
        <w:numPr>
          <w:ilvl w:val="0"/>
          <w:numId w:val="0"/>
        </w:numPr>
        <w:rPr>
          <w:b/>
          <w:i/>
        </w:rPr>
      </w:pPr>
      <w:r w:rsidRPr="001763AE">
        <w:t>Overall this output has been well implemented</w:t>
      </w:r>
      <w:r w:rsidR="00121DE0" w:rsidRPr="001763AE">
        <w:t xml:space="preserve">. </w:t>
      </w:r>
      <w:r w:rsidR="0098365A" w:rsidRPr="001763AE">
        <w:t>Project results have certainly been disseminated to other countries in the region, but they have been transferred to a rather lesser extent</w:t>
      </w:r>
      <w:r w:rsidR="007E31BE" w:rsidRPr="001763AE">
        <w:t>, although there is a reasonable likelihood that project outputs will be adopted elsewhere in the region in the future.</w:t>
      </w:r>
      <w:r w:rsidRPr="001763AE">
        <w:t xml:space="preserve"> Consequently it is </w:t>
      </w:r>
      <w:r w:rsidR="00E6025E" w:rsidRPr="001763AE">
        <w:t xml:space="preserve">evaluated as </w:t>
      </w:r>
      <w:r w:rsidR="00E6025E" w:rsidRPr="00EF1A74">
        <w:rPr>
          <w:b/>
        </w:rPr>
        <w:t>Satisfactory</w:t>
      </w:r>
      <w:r w:rsidR="00EF1A74" w:rsidRPr="00EF1A74">
        <w:rPr>
          <w:b/>
        </w:rPr>
        <w:t xml:space="preserve"> (S).</w:t>
      </w:r>
    </w:p>
    <w:p w:rsidR="00F56B3E" w:rsidRPr="001763AE" w:rsidRDefault="00F56B3E" w:rsidP="00F56B3E">
      <w:pPr>
        <w:pStyle w:val="Heading5"/>
      </w:pPr>
      <w:r w:rsidRPr="001763AE">
        <w:t>Overall evaluation for Outcome 2</w:t>
      </w:r>
    </w:p>
    <w:p w:rsidR="00DB28F8" w:rsidRDefault="00FE5A2F" w:rsidP="00DB28F8">
      <w:pPr>
        <w:pStyle w:val="NumberedPara"/>
        <w:numPr>
          <w:ilvl w:val="0"/>
          <w:numId w:val="0"/>
        </w:numPr>
        <w:rPr>
          <w:b/>
        </w:rPr>
      </w:pPr>
      <w:r w:rsidRPr="001763AE">
        <w:t>C</w:t>
      </w:r>
      <w:r w:rsidR="00D5038B" w:rsidRPr="001763AE">
        <w:t>ompletion of the outputs and</w:t>
      </w:r>
      <w:r w:rsidR="00EF1A74">
        <w:t xml:space="preserve"> achievement of the objectives f</w:t>
      </w:r>
      <w:r w:rsidR="00C45318">
        <w:t>or Outcome 2 have</w:t>
      </w:r>
      <w:r w:rsidR="00D5038B" w:rsidRPr="001763AE">
        <w:t xml:space="preserve"> </w:t>
      </w:r>
      <w:r w:rsidR="00907CFB" w:rsidRPr="001763AE">
        <w:t xml:space="preserve">been better </w:t>
      </w:r>
      <w:r w:rsidR="00C45318">
        <w:t xml:space="preserve">than </w:t>
      </w:r>
      <w:r w:rsidR="00907CFB" w:rsidRPr="001763AE">
        <w:t>for Outcome 1</w:t>
      </w:r>
      <w:r w:rsidR="001E1202" w:rsidRPr="001763AE">
        <w:t xml:space="preserve">, </w:t>
      </w:r>
      <w:r w:rsidR="00D5038B" w:rsidRPr="001763AE">
        <w:t xml:space="preserve">largely because </w:t>
      </w:r>
      <w:r w:rsidRPr="001763AE">
        <w:t xml:space="preserve">they were much </w:t>
      </w:r>
      <w:r w:rsidR="00684FB0" w:rsidRPr="001763AE">
        <w:t xml:space="preserve">more within the control of the </w:t>
      </w:r>
      <w:r w:rsidRPr="001763AE">
        <w:t>project implement</w:t>
      </w:r>
      <w:r w:rsidR="00684FB0" w:rsidRPr="001763AE">
        <w:t>ation team</w:t>
      </w:r>
      <w:r w:rsidRPr="001763AE">
        <w:t xml:space="preserve"> and not so subject to unforeseeable external factors. The work has made good progress towards professionalising protected area management, and in particular financial planning and management in the Romanian Carpathian and potentially beyond. The development and implementation of the FMS is th</w:t>
      </w:r>
      <w:r w:rsidR="00907CFB" w:rsidRPr="001763AE">
        <w:t xml:space="preserve">e standout achievement. </w:t>
      </w:r>
      <w:r w:rsidRPr="001763AE">
        <w:t>Overall</w:t>
      </w:r>
      <w:r w:rsidR="00C45318">
        <w:t>,</w:t>
      </w:r>
      <w:r w:rsidRPr="001763AE">
        <w:t xml:space="preserve"> </w:t>
      </w:r>
      <w:r w:rsidR="00F56B3E" w:rsidRPr="001763AE">
        <w:t xml:space="preserve">this outcome is evaluated as </w:t>
      </w:r>
      <w:r w:rsidR="00360133" w:rsidRPr="001763AE">
        <w:rPr>
          <w:b/>
        </w:rPr>
        <w:t>Satisfactory</w:t>
      </w:r>
      <w:r w:rsidR="00EF1A74">
        <w:rPr>
          <w:b/>
        </w:rPr>
        <w:t xml:space="preserve"> (S).</w:t>
      </w:r>
    </w:p>
    <w:p w:rsidR="00CB43AA" w:rsidRDefault="00CB43AA" w:rsidP="00DB28F8">
      <w:pPr>
        <w:pStyle w:val="NumberedPara"/>
        <w:numPr>
          <w:ilvl w:val="0"/>
          <w:numId w:val="0"/>
        </w:numPr>
      </w:pPr>
      <w:r w:rsidRPr="00CB43AA">
        <w:t xml:space="preserve"> </w:t>
      </w:r>
      <w:r>
        <w:t xml:space="preserve">The overall objective of this project was </w:t>
      </w:r>
      <w:r w:rsidRPr="001763AE">
        <w:t>‘</w:t>
      </w:r>
      <w:r w:rsidRPr="00980D1B">
        <w:rPr>
          <w:i/>
        </w:rPr>
        <w:t>To secure the financial sustainability of Romania’s Carpathian network of PAs, as a model for replication to the entire Carpathian Network of Protected Areas (CNPA)</w:t>
      </w:r>
      <w:r w:rsidRPr="001763AE">
        <w:t>’</w:t>
      </w:r>
      <w:r>
        <w:t>. Based on a strict assessment of the outcomes, outputs and specifically the targets set for the project, it has fallen well short of what was expected. However</w:t>
      </w:r>
      <w:r w:rsidR="000B0D3B">
        <w:t>,</w:t>
      </w:r>
      <w:r>
        <w:t xml:space="preserve"> the overall evaluation of this project is that it has in many respects been successful, with moderate shortcomings and is therefore assessed to be </w:t>
      </w:r>
      <w:r w:rsidRPr="00AE4371">
        <w:rPr>
          <w:b/>
        </w:rPr>
        <w:t>Moderately Satisfactory</w:t>
      </w:r>
      <w:r>
        <w:rPr>
          <w:b/>
        </w:rPr>
        <w:t xml:space="preserve"> (MS).</w:t>
      </w:r>
      <w:r>
        <w:t xml:space="preserve"> The achievements and shortcomings of the project and the mitigating factors </w:t>
      </w:r>
      <w:r w:rsidR="002319A2">
        <w:t xml:space="preserve">considered are summarised in the Summary of Conclusions on page </w:t>
      </w:r>
      <w:r w:rsidR="00217E75">
        <w:fldChar w:fldCharType="begin"/>
      </w:r>
      <w:r w:rsidR="002319A2">
        <w:instrText xml:space="preserve"> PAGEREF _Ref394859075 \h </w:instrText>
      </w:r>
      <w:r w:rsidR="00217E75">
        <w:fldChar w:fldCharType="separate"/>
      </w:r>
      <w:r w:rsidR="00D406FE">
        <w:rPr>
          <w:noProof/>
        </w:rPr>
        <w:t>6</w:t>
      </w:r>
      <w:r w:rsidR="00217E75">
        <w:fldChar w:fldCharType="end"/>
      </w:r>
      <w:r w:rsidR="002319A2">
        <w:t>.</w:t>
      </w:r>
    </w:p>
    <w:p w:rsidR="00695209" w:rsidRPr="001763AE" w:rsidRDefault="0035368E" w:rsidP="00DB28F8">
      <w:pPr>
        <w:pStyle w:val="NumberedPara"/>
        <w:numPr>
          <w:ilvl w:val="0"/>
          <w:numId w:val="0"/>
        </w:numPr>
      </w:pPr>
      <w:r w:rsidRPr="001763AE">
        <w:t xml:space="preserve">The overall evaluation takes into consideration </w:t>
      </w:r>
      <w:r>
        <w:t>the contrasting evaluations of O</w:t>
      </w:r>
      <w:r w:rsidRPr="001763AE">
        <w:t xml:space="preserve">utcomes </w:t>
      </w:r>
      <w:r>
        <w:t>1</w:t>
      </w:r>
      <w:r w:rsidRPr="001763AE">
        <w:t xml:space="preserve"> and </w:t>
      </w:r>
      <w:r>
        <w:t>2,</w:t>
      </w:r>
      <w:r w:rsidRPr="001763AE">
        <w:t xml:space="preserve"> and critically their contribution to the overall objective of the project and the likelihood of sustainability</w:t>
      </w:r>
      <w:r>
        <w:t xml:space="preserve">. Major shortcomings in achieving some of the targets are in part offset by important achievements, and while the challenges encountered in the enabling environment of the project are also taken into consideration, they cannot be used to offset some of the shortcomings. </w:t>
      </w:r>
      <w:r w:rsidRPr="001763AE">
        <w:t>The evaluation is not a reflection of the considerable efforts and dedication of those involv</w:t>
      </w:r>
      <w:r>
        <w:t xml:space="preserve">ed in implementing the project. Nor </w:t>
      </w:r>
      <w:r w:rsidRPr="001763AE">
        <w:t>should the evaluation result diminish the important progress made in changing how protected area budgeting and financing is conducted in Romania, in taking first steps towards solving the problem of financial sustainability and providing an essential foundation and for highly necessary future projects of the same type</w:t>
      </w:r>
      <w:r>
        <w:t xml:space="preserve">. </w:t>
      </w:r>
      <w:r w:rsidRPr="001763AE">
        <w:t>In any process of discovery and innovation it is inevitable that early hypotheses will be flawed</w:t>
      </w:r>
      <w:r>
        <w:t>, that unexpected problems will be encountered</w:t>
      </w:r>
      <w:r w:rsidRPr="001763AE">
        <w:t xml:space="preserve"> and </w:t>
      </w:r>
      <w:r>
        <w:t xml:space="preserve">that </w:t>
      </w:r>
      <w:r w:rsidRPr="001763AE">
        <w:t xml:space="preserve">some initial experiments </w:t>
      </w:r>
      <w:r>
        <w:t xml:space="preserve">will be </w:t>
      </w:r>
      <w:r w:rsidRPr="001763AE">
        <w:t xml:space="preserve">unsuccessful; </w:t>
      </w:r>
      <w:r>
        <w:t xml:space="preserve">but </w:t>
      </w:r>
      <w:r w:rsidRPr="001763AE">
        <w:t>eventual success would not hap</w:t>
      </w:r>
      <w:r>
        <w:t>pen without these early stages.</w:t>
      </w:r>
    </w:p>
    <w:p w:rsidR="00F70DDA" w:rsidRPr="001763AE" w:rsidRDefault="006D4C7B" w:rsidP="00DB28F8">
      <w:pPr>
        <w:pStyle w:val="Heading2"/>
        <w:numPr>
          <w:ilvl w:val="0"/>
          <w:numId w:val="0"/>
        </w:numPr>
        <w:ind w:left="576" w:hanging="576"/>
      </w:pPr>
      <w:bookmarkStart w:id="40" w:name="_Ref391988134"/>
      <w:bookmarkStart w:id="41" w:name="_Toc396725241"/>
      <w:r w:rsidRPr="001763AE">
        <w:t>Recommendations for short</w:t>
      </w:r>
      <w:r w:rsidR="006F2BB3" w:rsidRPr="001763AE">
        <w:t xml:space="preserve"> term measures </w:t>
      </w:r>
      <w:r w:rsidR="00873ADD">
        <w:t>to follow up/</w:t>
      </w:r>
      <w:r w:rsidR="000E3CD5" w:rsidRPr="001763AE">
        <w:t>reinforce initial benefits from the project</w:t>
      </w:r>
      <w:bookmarkEnd w:id="40"/>
      <w:bookmarkEnd w:id="41"/>
    </w:p>
    <w:p w:rsidR="0025256D" w:rsidRDefault="00DC14FB" w:rsidP="00C2133E">
      <w:pPr>
        <w:pStyle w:val="RecommendationHeading"/>
        <w:numPr>
          <w:ilvl w:val="0"/>
          <w:numId w:val="48"/>
        </w:numPr>
        <w:ind w:left="0" w:firstLine="0"/>
      </w:pPr>
      <w:r w:rsidRPr="001763AE">
        <w:t>T</w:t>
      </w:r>
      <w:r w:rsidR="0074284B" w:rsidRPr="001763AE">
        <w:t>he UNDP P</w:t>
      </w:r>
      <w:r w:rsidR="002871C5" w:rsidRPr="001763AE">
        <w:t xml:space="preserve">roject </w:t>
      </w:r>
      <w:r w:rsidR="0074284B" w:rsidRPr="001763AE">
        <w:t>Management O</w:t>
      </w:r>
      <w:r w:rsidR="002871C5" w:rsidRPr="001763AE">
        <w:t xml:space="preserve">ffice should continue to work with the NFA and the </w:t>
      </w:r>
      <w:r w:rsidRPr="001763AE">
        <w:t>MoECC to</w:t>
      </w:r>
      <w:r w:rsidR="002871C5" w:rsidRPr="001763AE">
        <w:t xml:space="preserve"> </w:t>
      </w:r>
      <w:r w:rsidRPr="001763AE">
        <w:t>promote and secure approval for the proposed legal and administrative measures to enable direct funding of protected areas.</w:t>
      </w:r>
      <w:r w:rsidR="00F70DDA" w:rsidRPr="001763AE">
        <w:t xml:space="preserve"> Specifically efforts should be focused on</w:t>
      </w:r>
      <w:r w:rsidR="0035368E">
        <w:t>:</w:t>
      </w:r>
    </w:p>
    <w:p w:rsidR="00F70DDA" w:rsidRPr="001763AE" w:rsidRDefault="00F70DDA" w:rsidP="00F70DDA">
      <w:pPr>
        <w:pStyle w:val="NumberedPara"/>
        <w:numPr>
          <w:ilvl w:val="0"/>
          <w:numId w:val="0"/>
        </w:numPr>
      </w:pPr>
      <w:r w:rsidRPr="001763AE">
        <w:t>a)</w:t>
      </w:r>
      <w:r w:rsidR="0025256D">
        <w:t xml:space="preserve"> </w:t>
      </w:r>
      <w:r w:rsidRPr="001763AE">
        <w:t>Enabling the National Environment Fund to act as a conduit</w:t>
      </w:r>
      <w:r w:rsidR="0035368E">
        <w:t xml:space="preserve"> for funding generated through p</w:t>
      </w:r>
      <w:r w:rsidRPr="001763AE">
        <w:t>ayments fo</w:t>
      </w:r>
      <w:r w:rsidR="0035368E">
        <w:t>r ecosystem s</w:t>
      </w:r>
      <w:r w:rsidRPr="001763AE">
        <w:t>ervices (PES) and other mechanisms</w:t>
      </w:r>
      <w:r w:rsidR="0035368E">
        <w:t>.</w:t>
      </w:r>
    </w:p>
    <w:p w:rsidR="00F70DDA" w:rsidRPr="001763AE" w:rsidRDefault="00F70DDA" w:rsidP="00F70DDA">
      <w:pPr>
        <w:pStyle w:val="NumberedPara"/>
        <w:numPr>
          <w:ilvl w:val="0"/>
          <w:numId w:val="0"/>
        </w:numPr>
      </w:pPr>
      <w:r w:rsidRPr="001763AE">
        <w:t>b) Ensuring that the new Forest Code is approved with inclusion of the mechanisms incorporated in the draft for PES.</w:t>
      </w:r>
    </w:p>
    <w:p w:rsidR="00933C38" w:rsidRPr="001763AE" w:rsidRDefault="00933C38" w:rsidP="00933C38">
      <w:pPr>
        <w:pStyle w:val="NumberedPara"/>
        <w:numPr>
          <w:ilvl w:val="0"/>
          <w:numId w:val="0"/>
        </w:numPr>
      </w:pPr>
    </w:p>
    <w:p w:rsidR="00541FCD" w:rsidRPr="001763AE" w:rsidRDefault="00541FCD" w:rsidP="0035368E">
      <w:pPr>
        <w:pStyle w:val="RecommendationHeading"/>
        <w:ind w:left="0" w:firstLine="0"/>
      </w:pPr>
      <w:r w:rsidRPr="001763AE">
        <w:t xml:space="preserve">All the project partners should </w:t>
      </w:r>
      <w:r w:rsidR="002F5088" w:rsidRPr="001763AE">
        <w:t xml:space="preserve">continue to </w:t>
      </w:r>
      <w:r w:rsidRPr="001763AE">
        <w:t>work to ensure that the current and futu</w:t>
      </w:r>
      <w:r w:rsidR="002F5088" w:rsidRPr="001763AE">
        <w:t>re SOP projects and other donor-</w:t>
      </w:r>
      <w:r w:rsidRPr="001763AE">
        <w:t xml:space="preserve">funded activities build on the achievements of the project. In particular, the </w:t>
      </w:r>
      <w:r w:rsidR="002F5088" w:rsidRPr="001763AE">
        <w:t xml:space="preserve">MoECC and the NFA should ensure that the </w:t>
      </w:r>
      <w:r w:rsidRPr="001763AE">
        <w:t xml:space="preserve">PES elements of </w:t>
      </w:r>
      <w:r w:rsidR="002F5088" w:rsidRPr="001763AE">
        <w:t xml:space="preserve">future </w:t>
      </w:r>
      <w:r w:rsidR="0035368E">
        <w:t>projects</w:t>
      </w:r>
      <w:r w:rsidRPr="001763AE">
        <w:t xml:space="preserve"> </w:t>
      </w:r>
      <w:r w:rsidR="002F5088" w:rsidRPr="001763AE">
        <w:t xml:space="preserve">make use of and </w:t>
      </w:r>
      <w:r w:rsidRPr="001763AE">
        <w:t>support further development of the initiatives established by this project.</w:t>
      </w:r>
    </w:p>
    <w:p w:rsidR="00933C38" w:rsidRPr="001763AE" w:rsidRDefault="00933C38" w:rsidP="00933C38">
      <w:pPr>
        <w:pStyle w:val="NumberedPara"/>
        <w:numPr>
          <w:ilvl w:val="0"/>
          <w:numId w:val="0"/>
        </w:numPr>
      </w:pPr>
    </w:p>
    <w:p w:rsidR="00541FCD" w:rsidRDefault="00B5303F" w:rsidP="0035368E">
      <w:pPr>
        <w:pStyle w:val="RecommendationHeading"/>
        <w:ind w:left="0" w:firstLine="0"/>
      </w:pPr>
      <w:r w:rsidRPr="001763AE">
        <w:t xml:space="preserve">The </w:t>
      </w:r>
      <w:r w:rsidR="002D4972" w:rsidRPr="001763AE">
        <w:t>online Financial Management S</w:t>
      </w:r>
      <w:r w:rsidRPr="001763AE">
        <w:t xml:space="preserve">ystem should be further developed and institutionalised. </w:t>
      </w:r>
      <w:r w:rsidR="00541FCD" w:rsidRPr="001763AE">
        <w:t>The NFA should continue to require</w:t>
      </w:r>
      <w:r w:rsidR="002F5088" w:rsidRPr="001763AE">
        <w:t xml:space="preserve"> and extend</w:t>
      </w:r>
      <w:r w:rsidR="00541FCD" w:rsidRPr="001763AE">
        <w:t xml:space="preserve"> </w:t>
      </w:r>
      <w:r w:rsidRPr="001763AE">
        <w:t xml:space="preserve">its </w:t>
      </w:r>
      <w:r w:rsidR="00541FCD" w:rsidRPr="001763AE">
        <w:t>use</w:t>
      </w:r>
      <w:r w:rsidR="002F5088" w:rsidRPr="001763AE">
        <w:t xml:space="preserve">. The </w:t>
      </w:r>
      <w:r w:rsidR="006F2BB3" w:rsidRPr="001763AE">
        <w:t>MoECC</w:t>
      </w:r>
      <w:r w:rsidR="00541FCD" w:rsidRPr="001763AE">
        <w:t xml:space="preserve"> should </w:t>
      </w:r>
      <w:r w:rsidR="009D2CAB" w:rsidRPr="001763AE">
        <w:t xml:space="preserve">ensure implementation of the Ministerial Order 1,470 of the 12 June 2013 to </w:t>
      </w:r>
      <w:r w:rsidR="00541FCD" w:rsidRPr="001763AE">
        <w:t xml:space="preserve">require </w:t>
      </w:r>
      <w:r w:rsidRPr="001763AE">
        <w:t xml:space="preserve">its use </w:t>
      </w:r>
      <w:r w:rsidR="00541FCD" w:rsidRPr="001763AE">
        <w:t>for bud</w:t>
      </w:r>
      <w:r w:rsidR="009126FB" w:rsidRPr="001763AE">
        <w:t>geting and reporting in all protected areas including Natura</w:t>
      </w:r>
      <w:r w:rsidR="00541FCD" w:rsidRPr="001763AE">
        <w:t xml:space="preserve"> 2000 sites. In order to facilitate this</w:t>
      </w:r>
      <w:r w:rsidRPr="001763AE">
        <w:t>,</w:t>
      </w:r>
      <w:r w:rsidR="00541FCD" w:rsidRPr="001763AE">
        <w:t xml:space="preserve"> </w:t>
      </w:r>
      <w:r w:rsidRPr="001763AE">
        <w:t xml:space="preserve">it is vital that </w:t>
      </w:r>
      <w:r w:rsidR="00541FCD" w:rsidRPr="001763AE">
        <w:t xml:space="preserve">the new online management planning format of the MoECC </w:t>
      </w:r>
      <w:r w:rsidR="000A2434">
        <w:t>is</w:t>
      </w:r>
      <w:r w:rsidR="00541FCD" w:rsidRPr="001763AE">
        <w:t xml:space="preserve"> designed </w:t>
      </w:r>
      <w:r w:rsidR="000A2434">
        <w:t>to be</w:t>
      </w:r>
      <w:r w:rsidR="00541FCD" w:rsidRPr="001763AE">
        <w:t xml:space="preserve"> fully integrated with the FMS.</w:t>
      </w:r>
    </w:p>
    <w:p w:rsidR="00933C38" w:rsidRPr="001763AE" w:rsidRDefault="00933C38" w:rsidP="00933C38">
      <w:pPr>
        <w:pStyle w:val="NumberedPara"/>
        <w:numPr>
          <w:ilvl w:val="0"/>
          <w:numId w:val="0"/>
        </w:numPr>
      </w:pPr>
    </w:p>
    <w:p w:rsidR="006F2BB3" w:rsidRPr="001763AE" w:rsidRDefault="009D2CAB" w:rsidP="0035368E">
      <w:pPr>
        <w:pStyle w:val="RecommendationHeading"/>
        <w:ind w:left="0" w:firstLine="0"/>
      </w:pPr>
      <w:r w:rsidRPr="001763AE">
        <w:t xml:space="preserve"> The NFA should establish and share a transparent policy and associated mechanisms for use of funds generated by protected areas. This should ensure that protected area personnel, funding partners and the wider public all understand how income is reinvested </w:t>
      </w:r>
      <w:r w:rsidR="000A2434">
        <w:t>in protected areas</w:t>
      </w:r>
      <w:r w:rsidR="00660090" w:rsidRPr="001763AE">
        <w:t xml:space="preserve">. </w:t>
      </w:r>
      <w:r w:rsidR="001F0532" w:rsidRPr="001763AE">
        <w:t>It is suggested tha</w:t>
      </w:r>
      <w:r w:rsidR="001F0532">
        <w:t>t</w:t>
      </w:r>
      <w:r w:rsidR="001F0532" w:rsidRPr="001763AE">
        <w:t xml:space="preserve"> a </w:t>
      </w:r>
      <w:r w:rsidR="001F0532">
        <w:t xml:space="preserve">suitable </w:t>
      </w:r>
      <w:r w:rsidR="001F0532" w:rsidRPr="001763AE">
        <w:t>procedure is put in place by the NFA in consultation with the MoECC and making use of legal advice that includes the following.</w:t>
      </w:r>
    </w:p>
    <w:p w:rsidR="00C64AAF" w:rsidRPr="001763AE" w:rsidRDefault="00C64AAF" w:rsidP="00C64AAF">
      <w:pPr>
        <w:numPr>
          <w:ilvl w:val="0"/>
          <w:numId w:val="42"/>
        </w:numPr>
      </w:pPr>
      <w:r w:rsidRPr="001763AE">
        <w:t xml:space="preserve">A legal statement </w:t>
      </w:r>
      <w:r w:rsidR="00660090" w:rsidRPr="001763AE">
        <w:t xml:space="preserve">clarifying </w:t>
      </w:r>
      <w:r w:rsidRPr="001763AE">
        <w:t>the ownership of income generated at PAs.</w:t>
      </w:r>
    </w:p>
    <w:p w:rsidR="00C64AAF" w:rsidRPr="001763AE" w:rsidRDefault="00C64AAF" w:rsidP="00C64AAF">
      <w:pPr>
        <w:numPr>
          <w:ilvl w:val="0"/>
          <w:numId w:val="42"/>
        </w:numPr>
        <w:rPr>
          <w:rFonts w:eastAsia="Times New Roman"/>
          <w:lang w:eastAsia="en-GB"/>
        </w:rPr>
      </w:pPr>
      <w:r w:rsidRPr="001763AE">
        <w:rPr>
          <w:rFonts w:eastAsia="Times New Roman"/>
          <w:lang w:eastAsia="en-GB"/>
        </w:rPr>
        <w:t>A standard clear explanation to donors, financing partners and the paying public (visitors) as to how their contributions will be used. This should include an opportunity for donors and funding partners to specify if they wish how they want their contributions used; either for a defined purpose (restricted funds) or to support general management costs (unrestricted funds).</w:t>
      </w:r>
    </w:p>
    <w:p w:rsidR="00C64AAF" w:rsidRPr="001763AE" w:rsidRDefault="00C64AAF" w:rsidP="00C64AAF">
      <w:pPr>
        <w:numPr>
          <w:ilvl w:val="0"/>
          <w:numId w:val="42"/>
        </w:numPr>
        <w:rPr>
          <w:rFonts w:eastAsia="Times New Roman"/>
          <w:lang w:eastAsia="en-GB"/>
        </w:rPr>
      </w:pPr>
      <w:r w:rsidRPr="001763AE">
        <w:rPr>
          <w:rFonts w:eastAsia="Times New Roman"/>
          <w:lang w:eastAsia="en-GB"/>
        </w:rPr>
        <w:t>A requirement that income generated and retained by PAs should be prioritised for use to support activities foreseen and budgeted in their management plans, unless specific permission is given to the contrary.</w:t>
      </w:r>
    </w:p>
    <w:p w:rsidR="00C64AAF" w:rsidRPr="001763AE" w:rsidRDefault="00C64AAF" w:rsidP="00C64AAF">
      <w:pPr>
        <w:numPr>
          <w:ilvl w:val="0"/>
          <w:numId w:val="42"/>
        </w:numPr>
        <w:rPr>
          <w:rFonts w:eastAsia="Times New Roman"/>
          <w:lang w:eastAsia="en-GB"/>
        </w:rPr>
      </w:pPr>
      <w:r w:rsidRPr="001763AE">
        <w:rPr>
          <w:rFonts w:eastAsia="Times New Roman"/>
          <w:lang w:eastAsia="en-GB"/>
        </w:rPr>
        <w:t xml:space="preserve">Definition of a specified proportion of unrestricted income secured by protected areas that can be used by the NFA to </w:t>
      </w:r>
      <w:r w:rsidR="00AD5D86" w:rsidRPr="001763AE">
        <w:rPr>
          <w:rFonts w:eastAsia="Times New Roman"/>
          <w:lang w:eastAsia="en-GB"/>
        </w:rPr>
        <w:t>supplement the budget of the PA Unit</w:t>
      </w:r>
      <w:r w:rsidRPr="001763AE">
        <w:rPr>
          <w:rFonts w:eastAsia="Times New Roman"/>
          <w:lang w:eastAsia="en-GB"/>
        </w:rPr>
        <w:t xml:space="preserve"> and to finance a special fund for emergencies and for use to support non income generating protected areas.</w:t>
      </w:r>
    </w:p>
    <w:p w:rsidR="00C64AAF" w:rsidRPr="001763AE" w:rsidRDefault="00C64AAF" w:rsidP="00C64AAF">
      <w:pPr>
        <w:numPr>
          <w:ilvl w:val="0"/>
          <w:numId w:val="42"/>
        </w:numPr>
        <w:rPr>
          <w:rFonts w:eastAsia="Times New Roman"/>
          <w:lang w:eastAsia="en-GB"/>
        </w:rPr>
      </w:pPr>
      <w:r w:rsidRPr="001763AE">
        <w:rPr>
          <w:rFonts w:eastAsia="Times New Roman"/>
          <w:lang w:eastAsia="en-GB"/>
        </w:rPr>
        <w:t>A requirement for transparent accounting and reporting so that all donors (including the paying public) can see how their contributions are being used.</w:t>
      </w:r>
    </w:p>
    <w:p w:rsidR="00C64AAF" w:rsidRPr="001763AE" w:rsidRDefault="00C64AAF" w:rsidP="00C64AAF">
      <w:pPr>
        <w:numPr>
          <w:ilvl w:val="0"/>
          <w:numId w:val="42"/>
        </w:numPr>
        <w:rPr>
          <w:rFonts w:eastAsia="Times New Roman"/>
          <w:lang w:eastAsia="en-GB"/>
        </w:rPr>
      </w:pPr>
      <w:r w:rsidRPr="001763AE">
        <w:rPr>
          <w:rFonts w:eastAsia="Times New Roman"/>
          <w:lang w:eastAsia="en-GB"/>
        </w:rPr>
        <w:t>A policy document and guidance that addresses and explains these and other pertinent issues</w:t>
      </w:r>
      <w:r w:rsidR="000A2434">
        <w:rPr>
          <w:rFonts w:eastAsia="Times New Roman"/>
          <w:lang w:eastAsia="en-GB"/>
        </w:rPr>
        <w:t>.</w:t>
      </w:r>
    </w:p>
    <w:p w:rsidR="009126FB" w:rsidRPr="001763AE" w:rsidRDefault="009126FB" w:rsidP="009126FB">
      <w:pPr>
        <w:pStyle w:val="NumberedPara"/>
        <w:numPr>
          <w:ilvl w:val="0"/>
          <w:numId w:val="0"/>
        </w:numPr>
      </w:pPr>
    </w:p>
    <w:p w:rsidR="009126FB" w:rsidRPr="001763AE" w:rsidRDefault="009126FB" w:rsidP="0035368E">
      <w:pPr>
        <w:pStyle w:val="RecommendationHeading"/>
        <w:ind w:left="0" w:firstLine="0"/>
      </w:pPr>
      <w:r w:rsidRPr="001763AE">
        <w:t xml:space="preserve">The NFA </w:t>
      </w:r>
      <w:r w:rsidR="005B217A" w:rsidRPr="001763AE">
        <w:t xml:space="preserve">should </w:t>
      </w:r>
      <w:r w:rsidR="00AD5D86" w:rsidRPr="001763AE">
        <w:t xml:space="preserve">increase the </w:t>
      </w:r>
      <w:r w:rsidR="000A2434">
        <w:t>staffing capacity in its</w:t>
      </w:r>
      <w:r w:rsidR="005B217A" w:rsidRPr="001763AE">
        <w:t xml:space="preserve"> protected areas unit in order to support the protected areas in continuing the work of the project, </w:t>
      </w:r>
      <w:r w:rsidR="000A2434">
        <w:t xml:space="preserve">specifically </w:t>
      </w:r>
      <w:r w:rsidR="005B217A" w:rsidRPr="001763AE">
        <w:t>with respect to partnership building and fundraising</w:t>
      </w:r>
      <w:r w:rsidR="00AD5D86" w:rsidRPr="001763AE">
        <w:t>, including development of local community based partnerships</w:t>
      </w:r>
      <w:r w:rsidR="000A2434">
        <w:t>. This support</w:t>
      </w:r>
      <w:r w:rsidR="005B217A" w:rsidRPr="001763AE">
        <w:t xml:space="preserve"> does not have to be entitled a ‘Business Development Unit’ but it is necessary</w:t>
      </w:r>
      <w:r w:rsidR="000A2434">
        <w:t xml:space="preserve"> in some form.</w:t>
      </w:r>
    </w:p>
    <w:p w:rsidR="00933C38" w:rsidRPr="001763AE" w:rsidRDefault="00933C38" w:rsidP="00933C38">
      <w:pPr>
        <w:pStyle w:val="NumberedPara"/>
        <w:numPr>
          <w:ilvl w:val="0"/>
          <w:numId w:val="0"/>
        </w:numPr>
      </w:pPr>
    </w:p>
    <w:p w:rsidR="00D33396" w:rsidRPr="001763AE" w:rsidRDefault="009126FB" w:rsidP="0035368E">
      <w:pPr>
        <w:pStyle w:val="RecommendationHeading"/>
        <w:ind w:left="0" w:firstLine="0"/>
      </w:pPr>
      <w:r w:rsidRPr="001763AE">
        <w:t xml:space="preserve">The MoECC, NFA and donors should </w:t>
      </w:r>
      <w:r w:rsidR="00C406FC" w:rsidRPr="001763AE">
        <w:t>encourage and support the further development of the Protected Areas Association and should work with the Association to harmonise priorities and practices. F</w:t>
      </w:r>
      <w:r w:rsidR="00D33396" w:rsidRPr="001763AE">
        <w:t>uture projects and initiatives</w:t>
      </w:r>
      <w:r w:rsidR="006F2BB3" w:rsidRPr="001763AE">
        <w:t xml:space="preserve"> </w:t>
      </w:r>
      <w:r w:rsidR="00C406FC" w:rsidRPr="001763AE">
        <w:t xml:space="preserve">should be encouraged to </w:t>
      </w:r>
      <w:r w:rsidR="006F2BB3" w:rsidRPr="001763AE">
        <w:t xml:space="preserve">channel </w:t>
      </w:r>
      <w:r w:rsidR="00AD5D86" w:rsidRPr="001763AE">
        <w:t xml:space="preserve">some </w:t>
      </w:r>
      <w:r w:rsidR="006F2BB3" w:rsidRPr="001763AE">
        <w:t>support to the</w:t>
      </w:r>
      <w:r w:rsidR="00C406FC" w:rsidRPr="001763AE">
        <w:t xml:space="preserve"> Association</w:t>
      </w:r>
      <w:r w:rsidR="006F2BB3" w:rsidRPr="001763AE">
        <w:t xml:space="preserve"> </w:t>
      </w:r>
      <w:r w:rsidR="00D33396" w:rsidRPr="001763AE">
        <w:t xml:space="preserve">in order to </w:t>
      </w:r>
      <w:r w:rsidR="00F8353D" w:rsidRPr="001763AE">
        <w:t xml:space="preserve">build its capacity and </w:t>
      </w:r>
      <w:r w:rsidR="00D33396" w:rsidRPr="001763AE">
        <w:t>enable its continued growth and impact</w:t>
      </w:r>
      <w:r w:rsidR="006F2BB3" w:rsidRPr="001763AE">
        <w:t>.</w:t>
      </w:r>
      <w:r w:rsidR="00660090" w:rsidRPr="001763AE">
        <w:t xml:space="preserve"> This support could take the form of </w:t>
      </w:r>
      <w:r w:rsidR="00C406FC" w:rsidRPr="001763AE">
        <w:t>subcontr</w:t>
      </w:r>
      <w:r w:rsidR="00576E1A">
        <w:t xml:space="preserve">acting some elements of </w:t>
      </w:r>
      <w:r w:rsidR="00C406FC" w:rsidRPr="001763AE">
        <w:t xml:space="preserve">projects and/or supporting direct applications by the Association for grants and projects. </w:t>
      </w:r>
      <w:r w:rsidR="00576E1A">
        <w:t xml:space="preserve">In particular, support should be sought for the translation and further promotion of the e-Learning platform developed by the project and hosted by the Association. </w:t>
      </w:r>
      <w:r w:rsidR="00F8353D" w:rsidRPr="001763AE">
        <w:t>In parallel, the Association should ensure the highest standards of professionalism, transparency and accountability in its work.</w:t>
      </w:r>
    </w:p>
    <w:p w:rsidR="000E3CD5" w:rsidRPr="001763AE" w:rsidRDefault="00BD6D3F" w:rsidP="000E3CD5">
      <w:pPr>
        <w:pStyle w:val="Heading2"/>
      </w:pPr>
      <w:bookmarkStart w:id="42" w:name="_Toc396725242"/>
      <w:r w:rsidRPr="001763AE">
        <w:t>Medium to long term recommendations f</w:t>
      </w:r>
      <w:r w:rsidR="000E3CD5" w:rsidRPr="001763AE">
        <w:t>or future directions underlining main objectives</w:t>
      </w:r>
      <w:bookmarkEnd w:id="42"/>
    </w:p>
    <w:p w:rsidR="009126FB" w:rsidRPr="001763AE" w:rsidRDefault="009126FB" w:rsidP="0035368E">
      <w:pPr>
        <w:pStyle w:val="RecommendationHeading"/>
        <w:ind w:left="0" w:firstLine="0"/>
      </w:pPr>
      <w:r w:rsidRPr="001763AE">
        <w:t xml:space="preserve">The uncertainties about the status, governance and management arrangements for protected areas need to be resolved as soon as possible. In the short to medium term, the NFA should be encouraged to continue its management of the Carpathian protected areas, with the incentive </w:t>
      </w:r>
      <w:r w:rsidR="005B217A" w:rsidRPr="001763AE">
        <w:t xml:space="preserve">of </w:t>
      </w:r>
      <w:r w:rsidRPr="001763AE">
        <w:t>guaranteed state support for core management costs (</w:t>
      </w:r>
      <w:r w:rsidR="00F8353D" w:rsidRPr="001763AE">
        <w:t xml:space="preserve">making use of </w:t>
      </w:r>
      <w:r w:rsidRPr="001763AE">
        <w:t xml:space="preserve">one of the mechanisms proposed by the project). </w:t>
      </w:r>
      <w:r w:rsidR="001F0532" w:rsidRPr="001763AE">
        <w:t>A detailed feasibility study should be made for a more permanent long-term solution that could include establishment of some protected areas as self-funding legal authorities and/or</w:t>
      </w:r>
      <w:r w:rsidR="0025256D">
        <w:t xml:space="preserve"> </w:t>
      </w:r>
      <w:r w:rsidR="001F0532" w:rsidRPr="001763AE">
        <w:t>the establishment of agency for protected areas (an opt</w:t>
      </w:r>
      <w:r w:rsidR="000A2434">
        <w:t>ion that is again being considered</w:t>
      </w:r>
      <w:r w:rsidR="001F0532" w:rsidRPr="001763AE">
        <w:t xml:space="preserve"> by the MoECC).</w:t>
      </w:r>
    </w:p>
    <w:p w:rsidR="00933C38" w:rsidRPr="001763AE" w:rsidRDefault="00933C38" w:rsidP="00933C38">
      <w:pPr>
        <w:pStyle w:val="NumberedPara"/>
        <w:numPr>
          <w:ilvl w:val="0"/>
          <w:numId w:val="0"/>
        </w:numPr>
      </w:pPr>
    </w:p>
    <w:p w:rsidR="0025256D" w:rsidRDefault="000A2434" w:rsidP="0035368E">
      <w:pPr>
        <w:pStyle w:val="RecommendationHeading"/>
        <w:ind w:left="0" w:firstLine="0"/>
      </w:pPr>
      <w:r>
        <w:t>T</w:t>
      </w:r>
      <w:r w:rsidR="001C5738" w:rsidRPr="001763AE">
        <w:t xml:space="preserve">he MoECC and/or the NFA </w:t>
      </w:r>
      <w:r w:rsidRPr="001763AE">
        <w:t xml:space="preserve">should </w:t>
      </w:r>
      <w:r>
        <w:t>as a priority seek support for a new, comple</w:t>
      </w:r>
      <w:r w:rsidR="005B217A" w:rsidRPr="001763AE">
        <w:t xml:space="preserve">mentary project designed to develop and test a more bottom-up </w:t>
      </w:r>
      <w:r w:rsidR="008B0306" w:rsidRPr="001763AE">
        <w:t xml:space="preserve">approach to protected area support, aimed at building synergies </w:t>
      </w:r>
      <w:r w:rsidR="001C5738" w:rsidRPr="001763AE">
        <w:t xml:space="preserve">for local development between </w:t>
      </w:r>
      <w:r w:rsidR="008B0306" w:rsidRPr="001763AE">
        <w:t>protected area</w:t>
      </w:r>
      <w:r w:rsidR="001C5738" w:rsidRPr="001763AE">
        <w:t>s and their</w:t>
      </w:r>
      <w:r w:rsidR="008B0306" w:rsidRPr="001763AE">
        <w:t xml:space="preserve"> surrounding communities. </w:t>
      </w:r>
      <w:r w:rsidR="001C5738" w:rsidRPr="001763AE">
        <w:t>This should focus on one or two protected areas where there is real potential for locally driven development and PA support, possibly linking a protected area managed by the NFA and one managed by a Local Authority.</w:t>
      </w:r>
    </w:p>
    <w:p w:rsidR="00933C38" w:rsidRPr="001763AE" w:rsidRDefault="00933C38" w:rsidP="00933C38">
      <w:pPr>
        <w:pStyle w:val="NumberedPara"/>
        <w:numPr>
          <w:ilvl w:val="0"/>
          <w:numId w:val="0"/>
        </w:numPr>
      </w:pPr>
    </w:p>
    <w:p w:rsidR="008B0306" w:rsidRPr="001763AE" w:rsidRDefault="008B0306" w:rsidP="0035368E">
      <w:pPr>
        <w:pStyle w:val="RecommendationHeading"/>
        <w:ind w:left="0" w:firstLine="0"/>
      </w:pPr>
      <w:r w:rsidRPr="001763AE">
        <w:t>Support should be sought for further developing the</w:t>
      </w:r>
      <w:r w:rsidR="00F14101" w:rsidRPr="001763AE">
        <w:t xml:space="preserve"> Financial Management S</w:t>
      </w:r>
      <w:r w:rsidRPr="001763AE">
        <w:t>ystem and making it accessible to protected areas not</w:t>
      </w:r>
      <w:r w:rsidR="001F0532">
        <w:t xml:space="preserve"> just in the Carpathian region, </w:t>
      </w:r>
      <w:r w:rsidRPr="001763AE">
        <w:t xml:space="preserve">but </w:t>
      </w:r>
      <w:r w:rsidR="001F0532">
        <w:t xml:space="preserve">also </w:t>
      </w:r>
      <w:r w:rsidRPr="001763AE">
        <w:t>globally</w:t>
      </w:r>
      <w:r w:rsidR="00F14101" w:rsidRPr="001763AE">
        <w:t xml:space="preserve">. </w:t>
      </w:r>
      <w:r w:rsidR="001C5738" w:rsidRPr="001763AE">
        <w:t xml:space="preserve">Although the system has been customised to some extent for use by the NFA, it is </w:t>
      </w:r>
      <w:r w:rsidR="007767A4" w:rsidRPr="001763AE">
        <w:t xml:space="preserve">also </w:t>
      </w:r>
      <w:r w:rsidR="001C5738" w:rsidRPr="001763AE">
        <w:t>sufficiently generic that it could (with minor modifications) be</w:t>
      </w:r>
      <w:r w:rsidRPr="001763AE">
        <w:t xml:space="preserve"> made available as an open source resource, promoted through UNDP’s network</w:t>
      </w:r>
      <w:r w:rsidR="00F14101" w:rsidRPr="001763AE">
        <w:t xml:space="preserve">. </w:t>
      </w:r>
      <w:r w:rsidR="00B5303F" w:rsidRPr="001763AE">
        <w:t xml:space="preserve">The system has </w:t>
      </w:r>
      <w:r w:rsidR="001C5738" w:rsidRPr="001763AE">
        <w:t xml:space="preserve">considerable </w:t>
      </w:r>
      <w:r w:rsidR="00B5303F" w:rsidRPr="001763AE">
        <w:t xml:space="preserve">potential for integration with modern management planning methodologies to </w:t>
      </w:r>
      <w:r w:rsidR="005B5A33">
        <w:t>produce a practical and usable ‘seamless’</w:t>
      </w:r>
      <w:r w:rsidR="00B5303F" w:rsidRPr="001763AE">
        <w:t xml:space="preserve"> system for thinking management, conservation goals, budgeting monitoring and financing.</w:t>
      </w:r>
    </w:p>
    <w:p w:rsidR="00E06B43" w:rsidRPr="001763AE" w:rsidRDefault="000725C6" w:rsidP="00DB28F8">
      <w:pPr>
        <w:pStyle w:val="Heading2"/>
        <w:numPr>
          <w:ilvl w:val="0"/>
          <w:numId w:val="0"/>
        </w:numPr>
        <w:ind w:left="576" w:hanging="576"/>
      </w:pPr>
      <w:bookmarkStart w:id="43" w:name="_Toc396725243"/>
      <w:r w:rsidRPr="001763AE">
        <w:t xml:space="preserve">‘Lessons learned’ from </w:t>
      </w:r>
      <w:r w:rsidR="000E3CD5" w:rsidRPr="001763AE">
        <w:t>addressing issues relating to relevance, performance and success</w:t>
      </w:r>
      <w:bookmarkEnd w:id="43"/>
    </w:p>
    <w:p w:rsidR="0025256D" w:rsidRDefault="00660090" w:rsidP="00660090">
      <w:pPr>
        <w:pStyle w:val="RecommendationHeading"/>
        <w:numPr>
          <w:ilvl w:val="0"/>
          <w:numId w:val="0"/>
        </w:numPr>
      </w:pPr>
      <w:r w:rsidRPr="001763AE">
        <w:rPr>
          <w:b/>
        </w:rPr>
        <w:t>Lesson 1:</w:t>
      </w:r>
      <w:r w:rsidRPr="001763AE">
        <w:t xml:space="preserve"> </w:t>
      </w:r>
      <w:r w:rsidR="00474DC9" w:rsidRPr="001763AE">
        <w:t>It is eventually unproductive to saddle projects with unrealistic targets, especially projects t</w:t>
      </w:r>
      <w:r w:rsidR="00807F49" w:rsidRPr="001763AE">
        <w:t xml:space="preserve">hat are breaking new ground </w:t>
      </w:r>
      <w:r w:rsidR="00AD5D86" w:rsidRPr="001763AE">
        <w:t xml:space="preserve">and </w:t>
      </w:r>
      <w:r w:rsidR="000725C6" w:rsidRPr="001763AE">
        <w:t xml:space="preserve">are </w:t>
      </w:r>
      <w:r w:rsidR="00474DC9" w:rsidRPr="001763AE">
        <w:t>to some extent experimental in nature.</w:t>
      </w:r>
      <w:r w:rsidR="000725C6" w:rsidRPr="001763AE">
        <w:t xml:space="preserve"> </w:t>
      </w:r>
      <w:r w:rsidR="00897CCF" w:rsidRPr="001763AE">
        <w:t xml:space="preserve">Some of the targets established for this project were unfeasible from the start (e.g. &gt; 1 million ha covered with </w:t>
      </w:r>
      <w:r w:rsidR="00897CCF" w:rsidRPr="001763AE">
        <w:rPr>
          <w:u w:val="single"/>
        </w:rPr>
        <w:t xml:space="preserve">ensured </w:t>
      </w:r>
      <w:r w:rsidR="00897CCF" w:rsidRPr="001763AE">
        <w:t xml:space="preserve">financial sustainability). </w:t>
      </w:r>
      <w:r w:rsidR="006352BA" w:rsidRPr="001763AE">
        <w:t>P</w:t>
      </w:r>
      <w:r w:rsidR="00C92734" w:rsidRPr="001763AE">
        <w:t>rojects that are following a well-established track can (and should) include ambitious targets</w:t>
      </w:r>
      <w:r w:rsidR="006352BA" w:rsidRPr="001763AE">
        <w:t xml:space="preserve"> based on outcomes and impacts in the field. However for projects such as this one which are </w:t>
      </w:r>
      <w:r w:rsidR="00C92734" w:rsidRPr="001763AE">
        <w:t>testing new approaches</w:t>
      </w:r>
      <w:r w:rsidR="006352BA" w:rsidRPr="001763AE">
        <w:t xml:space="preserve">, many of the outcomes comprise as yet unproven hypotheses, and more attention should be given in the project design and targets to </w:t>
      </w:r>
      <w:r w:rsidR="00897CCF" w:rsidRPr="001763AE">
        <w:t xml:space="preserve">detailed monitoring and adaptive management. </w:t>
      </w:r>
      <w:r w:rsidR="00807F49" w:rsidRPr="001763AE">
        <w:t>This should be recognised both by UNDP when developing new projects</w:t>
      </w:r>
      <w:r w:rsidR="00AD5D86" w:rsidRPr="001763AE">
        <w:t>,</w:t>
      </w:r>
      <w:r w:rsidR="00807F49" w:rsidRPr="001763AE">
        <w:t xml:space="preserve"> and by GEF when evaluating them for approval.</w:t>
      </w:r>
    </w:p>
    <w:p w:rsidR="00807F49" w:rsidRPr="001763AE" w:rsidRDefault="00807F49" w:rsidP="00807F49">
      <w:pPr>
        <w:pStyle w:val="NumberedPara"/>
        <w:numPr>
          <w:ilvl w:val="0"/>
          <w:numId w:val="0"/>
        </w:numPr>
      </w:pPr>
    </w:p>
    <w:p w:rsidR="0025256D" w:rsidRDefault="00660090" w:rsidP="00660090">
      <w:pPr>
        <w:pStyle w:val="RecommendationHeading"/>
        <w:numPr>
          <w:ilvl w:val="0"/>
          <w:numId w:val="0"/>
        </w:numPr>
      </w:pPr>
      <w:r w:rsidRPr="001763AE">
        <w:rPr>
          <w:b/>
        </w:rPr>
        <w:t>Lesson 2:</w:t>
      </w:r>
      <w:r w:rsidRPr="001763AE">
        <w:tab/>
      </w:r>
      <w:r w:rsidR="00F14101" w:rsidRPr="001763AE">
        <w:t>It is imp</w:t>
      </w:r>
      <w:r w:rsidR="005B5A33">
        <w:t>ortant to ensure that critical ‘gatekeepers’</w:t>
      </w:r>
      <w:r w:rsidR="00F14101" w:rsidRPr="001763AE">
        <w:t xml:space="preserve"> for the success of a project are formally embedded in the project, thereby enhancing their ownership and commitment to its success.</w:t>
      </w:r>
      <w:r w:rsidR="00897CCF" w:rsidRPr="001763AE">
        <w:t xml:space="preserve"> In this case</w:t>
      </w:r>
      <w:r w:rsidR="005B5A33">
        <w:t>,</w:t>
      </w:r>
      <w:r w:rsidR="00897CCF" w:rsidRPr="001763AE">
        <w:t xml:space="preserve"> the MoECC was the critical gatekeeper for most of the projects major objectives, but their involvement </w:t>
      </w:r>
      <w:r w:rsidR="008E332C" w:rsidRPr="001763AE">
        <w:t>as a major project partner</w:t>
      </w:r>
      <w:r w:rsidR="00897CCF" w:rsidRPr="001763AE">
        <w:t xml:space="preserve"> </w:t>
      </w:r>
      <w:r w:rsidR="008E332C" w:rsidRPr="001763AE">
        <w:t>became more limited, mainly as a result of the regular political changes in Romania and the regular turnover of senior decision makers in the Ministry.</w:t>
      </w:r>
    </w:p>
    <w:p w:rsidR="00474DC9" w:rsidRPr="001763AE" w:rsidRDefault="00474DC9" w:rsidP="00474DC9"/>
    <w:p w:rsidR="00474DC9" w:rsidRPr="001763AE" w:rsidRDefault="00C406FC" w:rsidP="00C406FC">
      <w:pPr>
        <w:pStyle w:val="RecommendationHeading"/>
        <w:numPr>
          <w:ilvl w:val="0"/>
          <w:numId w:val="0"/>
        </w:numPr>
      </w:pPr>
      <w:r w:rsidRPr="001763AE">
        <w:rPr>
          <w:b/>
        </w:rPr>
        <w:t>Lesson 3:</w:t>
      </w:r>
      <w:r w:rsidRPr="001763AE">
        <w:t xml:space="preserve"> </w:t>
      </w:r>
      <w:r w:rsidRPr="001763AE">
        <w:tab/>
      </w:r>
      <w:r w:rsidR="00474DC9" w:rsidRPr="001763AE">
        <w:t>Projects should take care to ensure that indicators are defined so as to be</w:t>
      </w:r>
      <w:r w:rsidR="00807F49" w:rsidRPr="001763AE">
        <w:t xml:space="preserve"> readily measurable and </w:t>
      </w:r>
      <w:r w:rsidR="001F3136" w:rsidRPr="001763AE">
        <w:t>clearly linked to outcomes and outputs.</w:t>
      </w:r>
      <w:r w:rsidR="000725C6" w:rsidRPr="001763AE">
        <w:t xml:space="preserve"> </w:t>
      </w:r>
      <w:r w:rsidR="00F14101" w:rsidRPr="001763AE">
        <w:t>At the inception stage</w:t>
      </w:r>
      <w:r w:rsidR="005B5A33">
        <w:t>,</w:t>
      </w:r>
      <w:r w:rsidR="00F14101" w:rsidRPr="001763AE">
        <w:t xml:space="preserve"> projects should identify a set of more s</w:t>
      </w:r>
      <w:r w:rsidR="005B5A33">
        <w:t xml:space="preserve">pecific standard measurables </w:t>
      </w:r>
      <w:r w:rsidR="00F14101" w:rsidRPr="001763AE">
        <w:t xml:space="preserve">that would help them to track progress of indicators. </w:t>
      </w:r>
      <w:r w:rsidR="00807F49" w:rsidRPr="001763AE">
        <w:t>This makes reporting, monitoring and evaluation much more easy and useful.</w:t>
      </w:r>
    </w:p>
    <w:p w:rsidR="000725C6" w:rsidRPr="001763AE" w:rsidRDefault="000725C6" w:rsidP="000725C6">
      <w:pPr>
        <w:pStyle w:val="NumberedPara"/>
        <w:numPr>
          <w:ilvl w:val="0"/>
          <w:numId w:val="0"/>
        </w:numPr>
      </w:pPr>
    </w:p>
    <w:p w:rsidR="000725C6" w:rsidRPr="001763AE" w:rsidRDefault="00C406FC" w:rsidP="00C406FC">
      <w:pPr>
        <w:pStyle w:val="RecommendationHeading"/>
        <w:numPr>
          <w:ilvl w:val="0"/>
          <w:numId w:val="0"/>
        </w:numPr>
      </w:pPr>
      <w:r w:rsidRPr="001763AE">
        <w:rPr>
          <w:b/>
        </w:rPr>
        <w:t>Lesson 4:</w:t>
      </w:r>
      <w:r w:rsidRPr="001763AE">
        <w:t xml:space="preserve"> </w:t>
      </w:r>
      <w:r w:rsidRPr="001763AE">
        <w:tab/>
      </w:r>
      <w:r w:rsidR="000725C6" w:rsidRPr="001763AE">
        <w:t xml:space="preserve">Projects should not rely on single </w:t>
      </w:r>
      <w:r w:rsidR="008E332C" w:rsidRPr="001763AE">
        <w:t xml:space="preserve">track </w:t>
      </w:r>
      <w:r w:rsidR="000725C6" w:rsidRPr="001763AE">
        <w:t xml:space="preserve">approaches and long chains of dependent </w:t>
      </w:r>
      <w:r w:rsidR="0038389C" w:rsidRPr="001763AE">
        <w:t xml:space="preserve">essential </w:t>
      </w:r>
      <w:r w:rsidR="005B5A33">
        <w:t>activities</w:t>
      </w:r>
      <w:r w:rsidR="0038389C" w:rsidRPr="001763AE">
        <w:t xml:space="preserve"> </w:t>
      </w:r>
      <w:r w:rsidR="000725C6" w:rsidRPr="001763AE">
        <w:t>to achieve broad objectives, especially where there are significant risks. Parallel programmes can</w:t>
      </w:r>
      <w:r w:rsidR="00933C38" w:rsidRPr="001763AE">
        <w:t xml:space="preserve"> increase the chance of success and provide alternatives when planned courses of action prove unfeasible.</w:t>
      </w:r>
      <w:r w:rsidR="0038389C" w:rsidRPr="001763AE">
        <w:t xml:space="preserve"> In the case of this project</w:t>
      </w:r>
      <w:r w:rsidR="005B5A33">
        <w:t>,</w:t>
      </w:r>
      <w:r w:rsidR="0038389C" w:rsidRPr="001763AE">
        <w:t xml:space="preserve"> all the most important outcomes hinged on the approval of major changes in national law and policy (this risk was recognised in the ProDoc). In such cases it is important to have a ‘Plan B’ and even a ‘Plan C’ that can be implemented when Plan A is blocked. In this project,</w:t>
      </w:r>
      <w:r w:rsidR="0025256D">
        <w:t xml:space="preserve"> </w:t>
      </w:r>
      <w:r w:rsidR="0038389C" w:rsidRPr="001763AE">
        <w:t>imaginative improvisation and adaptive management did enable some alternative routes to be found, but it would have been easier if those routes had been included in the plan.</w:t>
      </w:r>
    </w:p>
    <w:p w:rsidR="00142D5E" w:rsidRPr="001763AE" w:rsidRDefault="00142D5E" w:rsidP="00142D5E">
      <w:pPr>
        <w:pStyle w:val="NumberedPara"/>
        <w:numPr>
          <w:ilvl w:val="0"/>
          <w:numId w:val="0"/>
        </w:numPr>
      </w:pPr>
    </w:p>
    <w:p w:rsidR="0025256D" w:rsidRDefault="00E2271C" w:rsidP="005B5A33">
      <w:r w:rsidRPr="001763AE">
        <w:rPr>
          <w:b/>
        </w:rPr>
        <w:t xml:space="preserve">Lesson 5: </w:t>
      </w:r>
      <w:r w:rsidRPr="001763AE">
        <w:rPr>
          <w:b/>
        </w:rPr>
        <w:tab/>
      </w:r>
      <w:r w:rsidRPr="001763AE">
        <w:t>The Mid</w:t>
      </w:r>
      <w:r>
        <w:t xml:space="preserve"> Term Evaluation provides</w:t>
      </w:r>
      <w:r w:rsidRPr="001763AE">
        <w:t xml:space="preserve"> a unique opportunity that should not be missed to review and where necessary to realign a project that is going off course or that is encountering significant difficulties. </w:t>
      </w:r>
      <w:r w:rsidR="00142D5E" w:rsidRPr="001763AE">
        <w:t xml:space="preserve">In the case of this project the MTE could have </w:t>
      </w:r>
      <w:r w:rsidR="00A446D6" w:rsidRPr="001763AE">
        <w:t>done a lot more to adapt the project to the difficulties it was encountering and to build on the successes it was achieving.</w:t>
      </w:r>
    </w:p>
    <w:p w:rsidR="00933C38" w:rsidRPr="001763AE" w:rsidRDefault="00933C38" w:rsidP="00933C38">
      <w:pPr>
        <w:pStyle w:val="NumberedPara"/>
        <w:numPr>
          <w:ilvl w:val="0"/>
          <w:numId w:val="0"/>
        </w:numPr>
      </w:pPr>
    </w:p>
    <w:p w:rsidR="00933C38" w:rsidRPr="001763AE" w:rsidRDefault="00142D5E" w:rsidP="00C406FC">
      <w:pPr>
        <w:pStyle w:val="RecommendationHeading"/>
        <w:numPr>
          <w:ilvl w:val="0"/>
          <w:numId w:val="0"/>
        </w:numPr>
      </w:pPr>
      <w:r w:rsidRPr="001763AE">
        <w:rPr>
          <w:b/>
        </w:rPr>
        <w:t>Lesson 6</w:t>
      </w:r>
      <w:r w:rsidR="00C406FC" w:rsidRPr="001763AE">
        <w:rPr>
          <w:b/>
        </w:rPr>
        <w:t>:</w:t>
      </w:r>
      <w:r w:rsidR="00C406FC" w:rsidRPr="001763AE">
        <w:t xml:space="preserve"> </w:t>
      </w:r>
      <w:r w:rsidR="00C406FC" w:rsidRPr="001763AE">
        <w:tab/>
      </w:r>
      <w:r w:rsidR="007425FC" w:rsidRPr="001763AE">
        <w:t xml:space="preserve">This project has demonstrated that it is possible to </w:t>
      </w:r>
      <w:r w:rsidR="008E332C" w:rsidRPr="001763AE">
        <w:t>achieve significant successes by making</w:t>
      </w:r>
      <w:r w:rsidR="00933C38" w:rsidRPr="001763AE">
        <w:t xml:space="preserve"> best use of both </w:t>
      </w:r>
      <w:r w:rsidR="005B5A33">
        <w:t xml:space="preserve">the </w:t>
      </w:r>
      <w:r w:rsidR="00933C38" w:rsidRPr="001763AE">
        <w:t xml:space="preserve">existing skills and </w:t>
      </w:r>
      <w:r w:rsidR="005B5A33">
        <w:t xml:space="preserve">the </w:t>
      </w:r>
      <w:r w:rsidR="00933C38" w:rsidRPr="001763AE">
        <w:t>poten</w:t>
      </w:r>
      <w:r w:rsidR="007425FC" w:rsidRPr="001763AE">
        <w:t>tial of individuals within the</w:t>
      </w:r>
      <w:r w:rsidR="00933C38" w:rsidRPr="001763AE">
        <w:t xml:space="preserve"> national circle of stakeholders. </w:t>
      </w:r>
      <w:r w:rsidR="00F34B8B" w:rsidRPr="001763AE">
        <w:t>In particular, identifying and i</w:t>
      </w:r>
      <w:r w:rsidR="00933C38" w:rsidRPr="001763AE">
        <w:t>nvesting in younger national specialists</w:t>
      </w:r>
      <w:r w:rsidR="00F34B8B" w:rsidRPr="001763AE">
        <w:t xml:space="preserve"> who show talent and potential</w:t>
      </w:r>
      <w:r w:rsidR="00933C38" w:rsidRPr="001763AE">
        <w:t>, supported by international experts w</w:t>
      </w:r>
      <w:r w:rsidR="00897CCF" w:rsidRPr="001763AE">
        <w:t>here necessary, can pro</w:t>
      </w:r>
      <w:r w:rsidR="00933C38" w:rsidRPr="001763AE">
        <w:t>duce excellent outputs and provide lasting legacies for projects</w:t>
      </w:r>
      <w:r w:rsidR="008E332C" w:rsidRPr="001763AE">
        <w:t xml:space="preserve"> in terms of enhanced national capacity.</w:t>
      </w:r>
      <w:r w:rsidR="00F34B8B" w:rsidRPr="001763AE">
        <w:t xml:space="preserve"> Such individuals are often overlooked when recruiting national experts (due to lesser qualifications and less seniority), but ‘bringing on’ new national </w:t>
      </w:r>
      <w:r w:rsidR="007425FC" w:rsidRPr="001763AE">
        <w:t>specialists is essential for maintaining long term national capacities and for avoiding ‘brain drains’ to other sectors or other countries.</w:t>
      </w:r>
    </w:p>
    <w:p w:rsidR="00933C38" w:rsidRPr="001763AE" w:rsidRDefault="00933C38" w:rsidP="00933C38">
      <w:pPr>
        <w:pStyle w:val="NumberedPara"/>
        <w:numPr>
          <w:ilvl w:val="0"/>
          <w:numId w:val="0"/>
        </w:numPr>
      </w:pPr>
    </w:p>
    <w:p w:rsidR="00933C38" w:rsidRPr="001763AE" w:rsidRDefault="00F54AFC" w:rsidP="00C92734">
      <w:pPr>
        <w:pStyle w:val="RecommendationHeading"/>
        <w:numPr>
          <w:ilvl w:val="0"/>
          <w:numId w:val="0"/>
        </w:numPr>
      </w:pPr>
      <w:r w:rsidRPr="001763AE">
        <w:rPr>
          <w:b/>
        </w:rPr>
        <w:t>Lesson 7</w:t>
      </w:r>
      <w:r w:rsidR="00C92734" w:rsidRPr="001763AE">
        <w:rPr>
          <w:b/>
        </w:rPr>
        <w:t>:</w:t>
      </w:r>
      <w:r w:rsidR="00C92734" w:rsidRPr="001763AE">
        <w:rPr>
          <w:b/>
        </w:rPr>
        <w:tab/>
      </w:r>
      <w:r w:rsidR="00C92734" w:rsidRPr="001763AE">
        <w:tab/>
      </w:r>
      <w:r w:rsidR="007425FC" w:rsidRPr="001763AE">
        <w:t>This project has demonstrated that a</w:t>
      </w:r>
      <w:r w:rsidR="00933C38" w:rsidRPr="001763AE">
        <w:t xml:space="preserve"> supportive</w:t>
      </w:r>
      <w:r w:rsidR="00807F49" w:rsidRPr="001763AE">
        <w:t>, partnership-</w:t>
      </w:r>
      <w:r w:rsidR="00933C38" w:rsidRPr="001763AE">
        <w:t>focused</w:t>
      </w:r>
      <w:r w:rsidR="00807F49" w:rsidRPr="001763AE">
        <w:t xml:space="preserve"> and inclusive approach from a UNDP Country Office can make a major contribution</w:t>
      </w:r>
      <w:r w:rsidR="007425FC" w:rsidRPr="001763AE">
        <w:t xml:space="preserve"> to the successes of a project, especially where significant difficulties are encountered. Taking the extra step beyond being a grant administrator can make a real difference.</w:t>
      </w:r>
    </w:p>
    <w:p w:rsidR="00C92734" w:rsidRPr="001763AE" w:rsidRDefault="00C92734">
      <w:pPr>
        <w:spacing w:after="200" w:line="276" w:lineRule="auto"/>
      </w:pPr>
    </w:p>
    <w:sectPr w:rsidR="00C92734" w:rsidRPr="001763AE" w:rsidSect="00DB28F8">
      <w:pgSz w:w="11907" w:h="16839" w:code="9"/>
      <w:pgMar w:top="1304" w:right="1134" w:bottom="1191"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C9" w:rsidRDefault="00C072C9" w:rsidP="00C541C4">
      <w:pPr>
        <w:spacing w:line="240" w:lineRule="auto"/>
      </w:pPr>
      <w:r>
        <w:separator/>
      </w:r>
    </w:p>
  </w:endnote>
  <w:endnote w:type="continuationSeparator" w:id="0">
    <w:p w:rsidR="00C072C9" w:rsidRDefault="00C072C9" w:rsidP="00C54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rebuchet MS"/>
    <w:panose1 w:val="00000000000000000000"/>
    <w:charset w:val="00"/>
    <w:family w:val="swiss"/>
    <w:notTrueType/>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07" w:rsidRDefault="009E4807" w:rsidP="00CF2BBB">
    <w:pPr>
      <w:pStyle w:val="Footer"/>
      <w:pBdr>
        <w:bottom w:val="single" w:sz="6" w:space="1" w:color="auto"/>
      </w:pBdr>
      <w:jc w:val="center"/>
    </w:pPr>
  </w:p>
  <w:p w:rsidR="009E4807" w:rsidRDefault="009E4807" w:rsidP="00CF2BBB">
    <w:pPr>
      <w:pStyle w:val="Footer"/>
      <w:spacing w:before="60"/>
      <w:jc w:val="center"/>
    </w:pPr>
    <w:r>
      <w:tab/>
    </w:r>
    <w:r>
      <w:tab/>
    </w:r>
    <w:r w:rsidR="00217E75">
      <w:fldChar w:fldCharType="begin"/>
    </w:r>
    <w:r>
      <w:instrText xml:space="preserve"> PAGE   \* MERGEFORMAT </w:instrText>
    </w:r>
    <w:r w:rsidR="00217E75">
      <w:fldChar w:fldCharType="separate"/>
    </w:r>
    <w:r w:rsidR="00131F5E">
      <w:rPr>
        <w:noProof/>
      </w:rPr>
      <w:t>15</w:t>
    </w:r>
    <w:r w:rsidR="00217E7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C9" w:rsidRDefault="00C072C9" w:rsidP="00C541C4">
      <w:pPr>
        <w:spacing w:line="240" w:lineRule="auto"/>
      </w:pPr>
      <w:r>
        <w:separator/>
      </w:r>
    </w:p>
  </w:footnote>
  <w:footnote w:type="continuationSeparator" w:id="0">
    <w:p w:rsidR="00C072C9" w:rsidRDefault="00C072C9" w:rsidP="00C541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Symbol" w:hAnsi="Symbol"/>
        <w:b w:val="0"/>
        <w:i w:val="0"/>
        <w:sz w:val="16"/>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A"/>
    <w:multiLevelType w:val="multilevel"/>
    <w:tmpl w:val="0000000A"/>
    <w:name w:val="WW8Num1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9">
    <w:nsid w:val="0000000F"/>
    <w:multiLevelType w:val="multilevel"/>
    <w:tmpl w:val="0000000F"/>
    <w:name w:val="WW8Num1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0"/>
    <w:multiLevelType w:val="singleLevel"/>
    <w:tmpl w:val="00000010"/>
    <w:name w:val="WW8Num17"/>
    <w:lvl w:ilvl="0">
      <w:start w:val="1"/>
      <w:numFmt w:val="decimal"/>
      <w:lvlText w:val="%1."/>
      <w:lvlJc w:val="left"/>
      <w:pPr>
        <w:tabs>
          <w:tab w:val="num" w:pos="1350"/>
        </w:tabs>
        <w:ind w:left="1350" w:hanging="360"/>
      </w:pPr>
    </w:lvl>
  </w:abstractNum>
  <w:abstractNum w:abstractNumId="11">
    <w:nsid w:val="00000012"/>
    <w:multiLevelType w:val="singleLevel"/>
    <w:tmpl w:val="00000012"/>
    <w:name w:val="WW8Num19"/>
    <w:lvl w:ilvl="0">
      <w:start w:val="1"/>
      <w:numFmt w:val="bullet"/>
      <w:lvlText w:val=""/>
      <w:lvlJc w:val="left"/>
      <w:pPr>
        <w:tabs>
          <w:tab w:val="num" w:pos="1080"/>
        </w:tabs>
        <w:ind w:left="1080" w:hanging="360"/>
      </w:pPr>
      <w:rPr>
        <w:rFonts w:ascii="Symbol" w:hAnsi="Symbol"/>
      </w:rPr>
    </w:lvl>
  </w:abstractNum>
  <w:abstractNum w:abstractNumId="12">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3">
    <w:nsid w:val="00000015"/>
    <w:multiLevelType w:val="singleLevel"/>
    <w:tmpl w:val="00000015"/>
    <w:name w:val="WW8Num22"/>
    <w:lvl w:ilvl="0">
      <w:start w:val="1"/>
      <w:numFmt w:val="bullet"/>
      <w:lvlText w:val=""/>
      <w:lvlJc w:val="left"/>
      <w:pPr>
        <w:tabs>
          <w:tab w:val="num" w:pos="720"/>
        </w:tabs>
        <w:ind w:left="720" w:hanging="360"/>
      </w:pPr>
      <w:rPr>
        <w:rFonts w:ascii="Symbol" w:hAnsi="Symbol"/>
      </w:rPr>
    </w:lvl>
  </w:abstractNum>
  <w:abstractNum w:abstractNumId="14">
    <w:nsid w:val="00000016"/>
    <w:multiLevelType w:val="singleLevel"/>
    <w:tmpl w:val="00000016"/>
    <w:name w:val="WW8Num23"/>
    <w:lvl w:ilvl="0">
      <w:start w:val="1"/>
      <w:numFmt w:val="lowerRoman"/>
      <w:lvlText w:val="(%1)"/>
      <w:lvlJc w:val="left"/>
      <w:pPr>
        <w:tabs>
          <w:tab w:val="num" w:pos="576"/>
        </w:tabs>
        <w:ind w:left="576" w:hanging="576"/>
      </w:pPr>
      <w:rPr>
        <w:sz w:val="22"/>
      </w:rPr>
    </w:lvl>
  </w:abstractNum>
  <w:abstractNum w:abstractNumId="15">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16">
    <w:nsid w:val="00000019"/>
    <w:multiLevelType w:val="multilevel"/>
    <w:tmpl w:val="00000019"/>
    <w:name w:val="WW8Num2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7">
    <w:nsid w:val="0000001B"/>
    <w:multiLevelType w:val="multilevel"/>
    <w:tmpl w:val="0000001B"/>
    <w:name w:val="WW8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19">
    <w:nsid w:val="000E476D"/>
    <w:multiLevelType w:val="hybridMultilevel"/>
    <w:tmpl w:val="C4F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A6D2897"/>
    <w:multiLevelType w:val="hybridMultilevel"/>
    <w:tmpl w:val="13366C8A"/>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7130C57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0AD3791B"/>
    <w:multiLevelType w:val="hybridMultilevel"/>
    <w:tmpl w:val="8E7C8E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11786D96"/>
    <w:multiLevelType w:val="hybridMultilevel"/>
    <w:tmpl w:val="C72EC2FA"/>
    <w:lvl w:ilvl="0" w:tplc="8822F456">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23">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2CE1C36"/>
    <w:multiLevelType w:val="hybridMultilevel"/>
    <w:tmpl w:val="4C82A8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17A11EAD"/>
    <w:multiLevelType w:val="hybridMultilevel"/>
    <w:tmpl w:val="3690B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969767B"/>
    <w:multiLevelType w:val="hybridMultilevel"/>
    <w:tmpl w:val="3A10F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1EB53A8B"/>
    <w:multiLevelType w:val="hybridMultilevel"/>
    <w:tmpl w:val="FC3C3DD4"/>
    <w:lvl w:ilvl="0" w:tplc="5CC41F9C">
      <w:start w:val="1"/>
      <w:numFmt w:val="decimal"/>
      <w:pStyle w:val="NumberedPara"/>
      <w:lvlText w:val="%1."/>
      <w:lvlJc w:val="left"/>
      <w:pPr>
        <w:ind w:left="1495"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137063A"/>
    <w:multiLevelType w:val="hybridMultilevel"/>
    <w:tmpl w:val="CDACEB10"/>
    <w:lvl w:ilvl="0" w:tplc="43800A98">
      <w:start w:val="1"/>
      <w:numFmt w:val="decimal"/>
      <w:lvlText w:val="%1."/>
      <w:lvlJc w:val="left"/>
      <w:pPr>
        <w:ind w:left="587" w:hanging="360"/>
      </w:p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29">
    <w:nsid w:val="231F2552"/>
    <w:multiLevelType w:val="hybridMultilevel"/>
    <w:tmpl w:val="E782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44A742C"/>
    <w:multiLevelType w:val="hybridMultilevel"/>
    <w:tmpl w:val="1A463E40"/>
    <w:lvl w:ilvl="0" w:tplc="04090017">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5241E48"/>
    <w:multiLevelType w:val="hybridMultilevel"/>
    <w:tmpl w:val="D0D4F9DE"/>
    <w:lvl w:ilvl="0" w:tplc="4DE4AAF4">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29FC6E87"/>
    <w:multiLevelType w:val="hybridMultilevel"/>
    <w:tmpl w:val="0888B1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34">
    <w:nsid w:val="313B5253"/>
    <w:multiLevelType w:val="hybridMultilevel"/>
    <w:tmpl w:val="4322FBC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365644F0"/>
    <w:multiLevelType w:val="hybridMultilevel"/>
    <w:tmpl w:val="F16ECD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7027E1C"/>
    <w:multiLevelType w:val="hybridMultilevel"/>
    <w:tmpl w:val="86A4E3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nsid w:val="3B282048"/>
    <w:multiLevelType w:val="hybridMultilevel"/>
    <w:tmpl w:val="83CA83CA"/>
    <w:lvl w:ilvl="0" w:tplc="42F05A22">
      <w:start w:val="1"/>
      <w:numFmt w:val="decimal"/>
      <w:pStyle w:val="ParaCharChar"/>
      <w:lvlText w:val="%1."/>
      <w:lvlJc w:val="left"/>
      <w:pPr>
        <w:tabs>
          <w:tab w:val="num" w:pos="14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D0105B7"/>
    <w:multiLevelType w:val="hybridMultilevel"/>
    <w:tmpl w:val="DF8A36D4"/>
    <w:lvl w:ilvl="0" w:tplc="FF6A52CC">
      <w:start w:val="1"/>
      <w:numFmt w:val="decimal"/>
      <w:pStyle w:val="RecommendationHeading"/>
      <w:lvlText w:val="Recommendation %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3DCE365B"/>
    <w:multiLevelType w:val="hybridMultilevel"/>
    <w:tmpl w:val="B7B8B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426144B2"/>
    <w:multiLevelType w:val="hybridMultilevel"/>
    <w:tmpl w:val="5B6C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162952"/>
    <w:multiLevelType w:val="hybridMultilevel"/>
    <w:tmpl w:val="EF2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4830DB"/>
    <w:multiLevelType w:val="hybridMultilevel"/>
    <w:tmpl w:val="F69C427E"/>
    <w:lvl w:ilvl="0" w:tplc="C99AAB50">
      <w:start w:val="1"/>
      <w:numFmt w:val="decimal"/>
      <w:lvlText w:val="%1."/>
      <w:lvlJc w:val="left"/>
      <w:pPr>
        <w:tabs>
          <w:tab w:val="num" w:pos="720"/>
        </w:tabs>
        <w:ind w:left="720" w:hanging="360"/>
      </w:pPr>
    </w:lvl>
    <w:lvl w:ilvl="1" w:tplc="464C223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702D01"/>
    <w:multiLevelType w:val="hybridMultilevel"/>
    <w:tmpl w:val="8BC8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001048"/>
    <w:multiLevelType w:val="hybridMultilevel"/>
    <w:tmpl w:val="AE78C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FD5515B"/>
    <w:multiLevelType w:val="hybridMultilevel"/>
    <w:tmpl w:val="A3D0DD6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7">
    <w:nsid w:val="534D0094"/>
    <w:multiLevelType w:val="hybridMultilevel"/>
    <w:tmpl w:val="98602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47A25C8"/>
    <w:multiLevelType w:val="hybridMultilevel"/>
    <w:tmpl w:val="4692C21E"/>
    <w:lvl w:ilvl="0" w:tplc="3E1290B8">
      <w:start w:val="3"/>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0555A5E"/>
    <w:multiLevelType w:val="hybridMultilevel"/>
    <w:tmpl w:val="290C18DE"/>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34053D3"/>
    <w:multiLevelType w:val="hybridMultilevel"/>
    <w:tmpl w:val="1A2EC10A"/>
    <w:lvl w:ilvl="0" w:tplc="9D4C041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40266A5"/>
    <w:multiLevelType w:val="hybridMultilevel"/>
    <w:tmpl w:val="377AC824"/>
    <w:lvl w:ilvl="0" w:tplc="CF885452">
      <w:start w:val="1"/>
      <w:numFmt w:val="bullet"/>
      <w:pStyle w:val="ListBulletinden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64E031D5"/>
    <w:multiLevelType w:val="hybridMultilevel"/>
    <w:tmpl w:val="050C1EA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65554C0F"/>
    <w:multiLevelType w:val="hybridMultilevel"/>
    <w:tmpl w:val="1CA43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6B2065F5"/>
    <w:multiLevelType w:val="hybridMultilevel"/>
    <w:tmpl w:val="2FDA0CA4"/>
    <w:lvl w:ilvl="0" w:tplc="EB302868">
      <w:start w:val="1"/>
      <w:numFmt w:val="decimal"/>
      <w:pStyle w:val="A"/>
      <w:lvlText w:val="%1."/>
      <w:lvlJc w:val="left"/>
      <w:pPr>
        <w:tabs>
          <w:tab w:val="num" w:pos="720"/>
        </w:tabs>
        <w:ind w:left="720" w:hanging="360"/>
      </w:pPr>
      <w:rPr>
        <w:rFonts w:hint="default"/>
      </w:rPr>
    </w:lvl>
    <w:lvl w:ilvl="1" w:tplc="5D5E7C6E">
      <w:start w:val="1"/>
      <w:numFmt w:val="decimal"/>
      <w:lvlText w:val="%2."/>
      <w:lvlJc w:val="left"/>
      <w:pPr>
        <w:tabs>
          <w:tab w:val="num" w:pos="1800"/>
        </w:tabs>
        <w:ind w:left="1800" w:hanging="72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2BD4C23E">
      <w:start w:val="5"/>
      <w:numFmt w:val="upperRoman"/>
      <w:lvlText w:val="%4."/>
      <w:lvlJc w:val="left"/>
      <w:pPr>
        <w:ind w:left="1440" w:hanging="720"/>
      </w:pPr>
      <w:rPr>
        <w:rFonts w:hint="default"/>
        <w:b/>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EE94062"/>
    <w:multiLevelType w:val="hybridMultilevel"/>
    <w:tmpl w:val="58565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F0F50A6"/>
    <w:multiLevelType w:val="hybridMultilevel"/>
    <w:tmpl w:val="66C870FA"/>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58">
    <w:nsid w:val="70CE6851"/>
    <w:multiLevelType w:val="hybridMultilevel"/>
    <w:tmpl w:val="5DC4AFD4"/>
    <w:lvl w:ilvl="0" w:tplc="08090001">
      <w:start w:val="1"/>
      <w:numFmt w:val="bullet"/>
      <w:lvlText w:val=""/>
      <w:lvlJc w:val="left"/>
      <w:pPr>
        <w:ind w:left="360" w:hanging="360"/>
      </w:pPr>
      <w:rPr>
        <w:rFonts w:ascii="Symbol" w:hAnsi="Symbol" w:hint="default"/>
        <w:b w:val="0"/>
        <w:i w:val="0"/>
      </w:rPr>
    </w:lvl>
    <w:lvl w:ilvl="1" w:tplc="08090019">
      <w:start w:val="1"/>
      <w:numFmt w:val="lowerLetter"/>
      <w:lvlText w:val="%2."/>
      <w:lvlJc w:val="left"/>
      <w:pPr>
        <w:ind w:left="305" w:hanging="360"/>
      </w:pPr>
    </w:lvl>
    <w:lvl w:ilvl="2" w:tplc="0809001B" w:tentative="1">
      <w:start w:val="1"/>
      <w:numFmt w:val="lowerRoman"/>
      <w:lvlText w:val="%3."/>
      <w:lvlJc w:val="right"/>
      <w:pPr>
        <w:ind w:left="1025" w:hanging="180"/>
      </w:pPr>
    </w:lvl>
    <w:lvl w:ilvl="3" w:tplc="0809000F" w:tentative="1">
      <w:start w:val="1"/>
      <w:numFmt w:val="decimal"/>
      <w:lvlText w:val="%4."/>
      <w:lvlJc w:val="left"/>
      <w:pPr>
        <w:ind w:left="1745" w:hanging="360"/>
      </w:pPr>
    </w:lvl>
    <w:lvl w:ilvl="4" w:tplc="08090019" w:tentative="1">
      <w:start w:val="1"/>
      <w:numFmt w:val="lowerLetter"/>
      <w:lvlText w:val="%5."/>
      <w:lvlJc w:val="left"/>
      <w:pPr>
        <w:ind w:left="2465" w:hanging="360"/>
      </w:pPr>
    </w:lvl>
    <w:lvl w:ilvl="5" w:tplc="0809001B" w:tentative="1">
      <w:start w:val="1"/>
      <w:numFmt w:val="lowerRoman"/>
      <w:lvlText w:val="%6."/>
      <w:lvlJc w:val="right"/>
      <w:pPr>
        <w:ind w:left="3185" w:hanging="180"/>
      </w:pPr>
    </w:lvl>
    <w:lvl w:ilvl="6" w:tplc="0809000F" w:tentative="1">
      <w:start w:val="1"/>
      <w:numFmt w:val="decimal"/>
      <w:lvlText w:val="%7."/>
      <w:lvlJc w:val="left"/>
      <w:pPr>
        <w:ind w:left="3905" w:hanging="360"/>
      </w:pPr>
    </w:lvl>
    <w:lvl w:ilvl="7" w:tplc="08090019" w:tentative="1">
      <w:start w:val="1"/>
      <w:numFmt w:val="lowerLetter"/>
      <w:lvlText w:val="%8."/>
      <w:lvlJc w:val="left"/>
      <w:pPr>
        <w:ind w:left="4625" w:hanging="360"/>
      </w:pPr>
    </w:lvl>
    <w:lvl w:ilvl="8" w:tplc="0809001B" w:tentative="1">
      <w:start w:val="1"/>
      <w:numFmt w:val="lowerRoman"/>
      <w:lvlText w:val="%9."/>
      <w:lvlJc w:val="right"/>
      <w:pPr>
        <w:ind w:left="5345" w:hanging="180"/>
      </w:pPr>
    </w:lvl>
  </w:abstractNum>
  <w:abstractNum w:abstractNumId="59">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A8B02B3"/>
    <w:multiLevelType w:val="multilevel"/>
    <w:tmpl w:val="03EE24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nsid w:val="7CD7158B"/>
    <w:multiLevelType w:val="hybridMultilevel"/>
    <w:tmpl w:val="5BA2D020"/>
    <w:lvl w:ilvl="0" w:tplc="A6EC356E">
      <w:start w:val="1"/>
      <w:numFmt w:val="lowerRoman"/>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2"/>
  </w:num>
  <w:num w:numId="2">
    <w:abstractNumId w:val="60"/>
  </w:num>
  <w:num w:numId="3">
    <w:abstractNumId w:val="27"/>
  </w:num>
  <w:num w:numId="4">
    <w:abstractNumId w:val="24"/>
  </w:num>
  <w:num w:numId="5">
    <w:abstractNumId w:val="38"/>
  </w:num>
  <w:num w:numId="6">
    <w:abstractNumId w:val="34"/>
  </w:num>
  <w:num w:numId="7">
    <w:abstractNumId w:val="35"/>
  </w:num>
  <w:num w:numId="8">
    <w:abstractNumId w:val="51"/>
  </w:num>
  <w:num w:numId="9">
    <w:abstractNumId w:val="20"/>
  </w:num>
  <w:num w:numId="10">
    <w:abstractNumId w:val="55"/>
  </w:num>
  <w:num w:numId="11">
    <w:abstractNumId w:val="33"/>
  </w:num>
  <w:num w:numId="12">
    <w:abstractNumId w:val="23"/>
  </w:num>
  <w:num w:numId="13">
    <w:abstractNumId w:val="59"/>
  </w:num>
  <w:num w:numId="14">
    <w:abstractNumId w:val="44"/>
  </w:num>
  <w:num w:numId="15">
    <w:abstractNumId w:val="49"/>
  </w:num>
  <w:num w:numId="16">
    <w:abstractNumId w:val="50"/>
  </w:num>
  <w:num w:numId="17">
    <w:abstractNumId w:val="40"/>
  </w:num>
  <w:num w:numId="18">
    <w:abstractNumId w:val="43"/>
  </w:num>
  <w:num w:numId="19">
    <w:abstractNumId w:val="41"/>
  </w:num>
  <w:num w:numId="20">
    <w:abstractNumId w:val="56"/>
  </w:num>
  <w:num w:numId="21">
    <w:abstractNumId w:val="31"/>
  </w:num>
  <w:num w:numId="22">
    <w:abstractNumId w:val="58"/>
  </w:num>
  <w:num w:numId="23">
    <w:abstractNumId w:val="37"/>
  </w:num>
  <w:num w:numId="24">
    <w:abstractNumId w:val="54"/>
  </w:num>
  <w:num w:numId="25">
    <w:abstractNumId w:val="45"/>
  </w:num>
  <w:num w:numId="26">
    <w:abstractNumId w:val="32"/>
  </w:num>
  <w:num w:numId="27">
    <w:abstractNumId w:val="57"/>
  </w:num>
  <w:num w:numId="28">
    <w:abstractNumId w:val="21"/>
  </w:num>
  <w:num w:numId="29">
    <w:abstractNumId w:val="46"/>
  </w:num>
  <w:num w:numId="30">
    <w:abstractNumId w:val="36"/>
  </w:num>
  <w:num w:numId="31">
    <w:abstractNumId w:val="0"/>
  </w:num>
  <w:num w:numId="32">
    <w:abstractNumId w:val="26"/>
  </w:num>
  <w:num w:numId="33">
    <w:abstractNumId w:val="39"/>
  </w:num>
  <w:num w:numId="34">
    <w:abstractNumId w:val="28"/>
  </w:num>
  <w:num w:numId="35">
    <w:abstractNumId w:val="22"/>
  </w:num>
  <w:num w:numId="36">
    <w:abstractNumId w:val="38"/>
  </w:num>
  <w:num w:numId="37">
    <w:abstractNumId w:val="53"/>
  </w:num>
  <w:num w:numId="38">
    <w:abstractNumId w:val="42"/>
  </w:num>
  <w:num w:numId="39">
    <w:abstractNumId w:val="30"/>
  </w:num>
  <w:num w:numId="40">
    <w:abstractNumId w:val="19"/>
  </w:num>
  <w:num w:numId="41">
    <w:abstractNumId w:val="29"/>
  </w:num>
  <w:num w:numId="42">
    <w:abstractNumId w:val="47"/>
  </w:num>
  <w:num w:numId="43">
    <w:abstractNumId w:val="61"/>
  </w:num>
  <w:num w:numId="44">
    <w:abstractNumId w:val="48"/>
  </w:num>
  <w:num w:numId="45">
    <w:abstractNumId w:val="27"/>
    <w:lvlOverride w:ilvl="0">
      <w:startOverride w:val="1"/>
    </w:lvlOverride>
  </w:num>
  <w:num w:numId="46">
    <w:abstractNumId w:val="38"/>
    <w:lvlOverride w:ilvl="0">
      <w:startOverride w:val="1"/>
    </w:lvlOverride>
  </w:num>
  <w:num w:numId="47">
    <w:abstractNumId w:val="25"/>
  </w:num>
  <w:num w:numId="48">
    <w:abstractNumId w:val="38"/>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284"/>
  <w:defaultTableStyle w:val="BasicReport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C4"/>
    <w:rsid w:val="00002A5D"/>
    <w:rsid w:val="00003A4B"/>
    <w:rsid w:val="00003C2D"/>
    <w:rsid w:val="00004D55"/>
    <w:rsid w:val="000053AD"/>
    <w:rsid w:val="00005456"/>
    <w:rsid w:val="000059EE"/>
    <w:rsid w:val="00006944"/>
    <w:rsid w:val="00006D5A"/>
    <w:rsid w:val="000074A2"/>
    <w:rsid w:val="000079C9"/>
    <w:rsid w:val="00010476"/>
    <w:rsid w:val="00010A9A"/>
    <w:rsid w:val="0001129F"/>
    <w:rsid w:val="00011319"/>
    <w:rsid w:val="0001166E"/>
    <w:rsid w:val="00011E3C"/>
    <w:rsid w:val="0001323E"/>
    <w:rsid w:val="00013EDC"/>
    <w:rsid w:val="000168C4"/>
    <w:rsid w:val="000178DC"/>
    <w:rsid w:val="00020139"/>
    <w:rsid w:val="00020683"/>
    <w:rsid w:val="00020E69"/>
    <w:rsid w:val="00021C2C"/>
    <w:rsid w:val="00022065"/>
    <w:rsid w:val="000231A9"/>
    <w:rsid w:val="0002452E"/>
    <w:rsid w:val="00024B28"/>
    <w:rsid w:val="00025012"/>
    <w:rsid w:val="0002535C"/>
    <w:rsid w:val="000257E4"/>
    <w:rsid w:val="0002667F"/>
    <w:rsid w:val="00026E81"/>
    <w:rsid w:val="0002779F"/>
    <w:rsid w:val="00027A2E"/>
    <w:rsid w:val="00027C44"/>
    <w:rsid w:val="000306C0"/>
    <w:rsid w:val="00030FDE"/>
    <w:rsid w:val="00033734"/>
    <w:rsid w:val="00033C1E"/>
    <w:rsid w:val="000354F9"/>
    <w:rsid w:val="000369F4"/>
    <w:rsid w:val="00037BC0"/>
    <w:rsid w:val="00037D29"/>
    <w:rsid w:val="00040978"/>
    <w:rsid w:val="00040F9B"/>
    <w:rsid w:val="0004117E"/>
    <w:rsid w:val="000413B6"/>
    <w:rsid w:val="00041E7B"/>
    <w:rsid w:val="00041FF9"/>
    <w:rsid w:val="0004274C"/>
    <w:rsid w:val="00043975"/>
    <w:rsid w:val="00043E8E"/>
    <w:rsid w:val="000440E5"/>
    <w:rsid w:val="000447D0"/>
    <w:rsid w:val="000471CA"/>
    <w:rsid w:val="00050B6D"/>
    <w:rsid w:val="00051728"/>
    <w:rsid w:val="00051C8E"/>
    <w:rsid w:val="00051D16"/>
    <w:rsid w:val="000526F7"/>
    <w:rsid w:val="0005284C"/>
    <w:rsid w:val="00052C2E"/>
    <w:rsid w:val="0005558E"/>
    <w:rsid w:val="00055B3D"/>
    <w:rsid w:val="00055BC8"/>
    <w:rsid w:val="00055F39"/>
    <w:rsid w:val="00057488"/>
    <w:rsid w:val="00060C0F"/>
    <w:rsid w:val="00061149"/>
    <w:rsid w:val="00062E1C"/>
    <w:rsid w:val="00063001"/>
    <w:rsid w:val="00064663"/>
    <w:rsid w:val="00065B83"/>
    <w:rsid w:val="00066012"/>
    <w:rsid w:val="00066C93"/>
    <w:rsid w:val="00067B39"/>
    <w:rsid w:val="00070239"/>
    <w:rsid w:val="00071463"/>
    <w:rsid w:val="000725C6"/>
    <w:rsid w:val="00072862"/>
    <w:rsid w:val="00072A09"/>
    <w:rsid w:val="00072C0D"/>
    <w:rsid w:val="00072F31"/>
    <w:rsid w:val="00072FA2"/>
    <w:rsid w:val="00073BA8"/>
    <w:rsid w:val="0007403B"/>
    <w:rsid w:val="00074776"/>
    <w:rsid w:val="00074E69"/>
    <w:rsid w:val="000759ED"/>
    <w:rsid w:val="00077B42"/>
    <w:rsid w:val="00080A03"/>
    <w:rsid w:val="00080C40"/>
    <w:rsid w:val="000811B1"/>
    <w:rsid w:val="00081268"/>
    <w:rsid w:val="00081A48"/>
    <w:rsid w:val="00081C6E"/>
    <w:rsid w:val="00081D5C"/>
    <w:rsid w:val="00081DC9"/>
    <w:rsid w:val="0008201F"/>
    <w:rsid w:val="000836C0"/>
    <w:rsid w:val="00083F73"/>
    <w:rsid w:val="00084682"/>
    <w:rsid w:val="000848BA"/>
    <w:rsid w:val="000853D3"/>
    <w:rsid w:val="00085769"/>
    <w:rsid w:val="00085EC0"/>
    <w:rsid w:val="000861CF"/>
    <w:rsid w:val="00086A35"/>
    <w:rsid w:val="00086A4F"/>
    <w:rsid w:val="00090343"/>
    <w:rsid w:val="00091E20"/>
    <w:rsid w:val="00092373"/>
    <w:rsid w:val="00093EA9"/>
    <w:rsid w:val="000944DD"/>
    <w:rsid w:val="00095073"/>
    <w:rsid w:val="00096835"/>
    <w:rsid w:val="00096BD1"/>
    <w:rsid w:val="00096CFB"/>
    <w:rsid w:val="000A23AD"/>
    <w:rsid w:val="000A2434"/>
    <w:rsid w:val="000A2EC5"/>
    <w:rsid w:val="000A3A78"/>
    <w:rsid w:val="000A6AF1"/>
    <w:rsid w:val="000B0988"/>
    <w:rsid w:val="000B0D3B"/>
    <w:rsid w:val="000B1342"/>
    <w:rsid w:val="000B187F"/>
    <w:rsid w:val="000B2ACB"/>
    <w:rsid w:val="000B3959"/>
    <w:rsid w:val="000B4056"/>
    <w:rsid w:val="000B68D3"/>
    <w:rsid w:val="000B76C1"/>
    <w:rsid w:val="000B76C4"/>
    <w:rsid w:val="000B7BBC"/>
    <w:rsid w:val="000C031D"/>
    <w:rsid w:val="000C1E1C"/>
    <w:rsid w:val="000C22B6"/>
    <w:rsid w:val="000C325F"/>
    <w:rsid w:val="000C3705"/>
    <w:rsid w:val="000C3779"/>
    <w:rsid w:val="000C452C"/>
    <w:rsid w:val="000C5D8F"/>
    <w:rsid w:val="000C6CC4"/>
    <w:rsid w:val="000C7F3F"/>
    <w:rsid w:val="000D0066"/>
    <w:rsid w:val="000D01AF"/>
    <w:rsid w:val="000D04B6"/>
    <w:rsid w:val="000D04C7"/>
    <w:rsid w:val="000D135F"/>
    <w:rsid w:val="000D1515"/>
    <w:rsid w:val="000D1770"/>
    <w:rsid w:val="000D1AD7"/>
    <w:rsid w:val="000D3196"/>
    <w:rsid w:val="000D395F"/>
    <w:rsid w:val="000D39CF"/>
    <w:rsid w:val="000D3E04"/>
    <w:rsid w:val="000D5CB2"/>
    <w:rsid w:val="000D7561"/>
    <w:rsid w:val="000E080C"/>
    <w:rsid w:val="000E13B3"/>
    <w:rsid w:val="000E1A6C"/>
    <w:rsid w:val="000E28ED"/>
    <w:rsid w:val="000E2D0D"/>
    <w:rsid w:val="000E39FF"/>
    <w:rsid w:val="000E3CD5"/>
    <w:rsid w:val="000E4424"/>
    <w:rsid w:val="000E455A"/>
    <w:rsid w:val="000E4F19"/>
    <w:rsid w:val="000F0564"/>
    <w:rsid w:val="000F1407"/>
    <w:rsid w:val="000F34E6"/>
    <w:rsid w:val="000F3BAC"/>
    <w:rsid w:val="000F3E8A"/>
    <w:rsid w:val="000F41A2"/>
    <w:rsid w:val="000F4269"/>
    <w:rsid w:val="000F4277"/>
    <w:rsid w:val="000F4F04"/>
    <w:rsid w:val="000F5495"/>
    <w:rsid w:val="000F6222"/>
    <w:rsid w:val="000F681F"/>
    <w:rsid w:val="000F74D9"/>
    <w:rsid w:val="000F75EA"/>
    <w:rsid w:val="00101351"/>
    <w:rsid w:val="001013B1"/>
    <w:rsid w:val="00102444"/>
    <w:rsid w:val="00102D42"/>
    <w:rsid w:val="00102F16"/>
    <w:rsid w:val="00106E6E"/>
    <w:rsid w:val="00110985"/>
    <w:rsid w:val="00111358"/>
    <w:rsid w:val="001127B8"/>
    <w:rsid w:val="00113A37"/>
    <w:rsid w:val="00113CFF"/>
    <w:rsid w:val="00114EAC"/>
    <w:rsid w:val="00115552"/>
    <w:rsid w:val="001171E6"/>
    <w:rsid w:val="001174D5"/>
    <w:rsid w:val="0011751B"/>
    <w:rsid w:val="00121DE0"/>
    <w:rsid w:val="0012288E"/>
    <w:rsid w:val="0012329E"/>
    <w:rsid w:val="0012345B"/>
    <w:rsid w:val="001238B3"/>
    <w:rsid w:val="0012486C"/>
    <w:rsid w:val="0012510F"/>
    <w:rsid w:val="0012527B"/>
    <w:rsid w:val="001262A1"/>
    <w:rsid w:val="00126D8D"/>
    <w:rsid w:val="00126EDA"/>
    <w:rsid w:val="00130937"/>
    <w:rsid w:val="00130AD7"/>
    <w:rsid w:val="00131BCE"/>
    <w:rsid w:val="00131F5E"/>
    <w:rsid w:val="0013322D"/>
    <w:rsid w:val="0013332A"/>
    <w:rsid w:val="00134E1D"/>
    <w:rsid w:val="0013522C"/>
    <w:rsid w:val="001353ED"/>
    <w:rsid w:val="00136531"/>
    <w:rsid w:val="001365BD"/>
    <w:rsid w:val="00137FF3"/>
    <w:rsid w:val="00141EE2"/>
    <w:rsid w:val="00142D5E"/>
    <w:rsid w:val="0014362D"/>
    <w:rsid w:val="00145331"/>
    <w:rsid w:val="00146502"/>
    <w:rsid w:val="001469FA"/>
    <w:rsid w:val="00147C63"/>
    <w:rsid w:val="00147D1D"/>
    <w:rsid w:val="00150562"/>
    <w:rsid w:val="0015125E"/>
    <w:rsid w:val="00152480"/>
    <w:rsid w:val="001533B4"/>
    <w:rsid w:val="00153706"/>
    <w:rsid w:val="00154012"/>
    <w:rsid w:val="001547CE"/>
    <w:rsid w:val="001558A3"/>
    <w:rsid w:val="00157BD6"/>
    <w:rsid w:val="0016012D"/>
    <w:rsid w:val="0016273D"/>
    <w:rsid w:val="00162DCC"/>
    <w:rsid w:val="001643CB"/>
    <w:rsid w:val="001652A2"/>
    <w:rsid w:val="00165FAC"/>
    <w:rsid w:val="0016655F"/>
    <w:rsid w:val="001666E8"/>
    <w:rsid w:val="00166C93"/>
    <w:rsid w:val="00167EDF"/>
    <w:rsid w:val="0017202F"/>
    <w:rsid w:val="00172946"/>
    <w:rsid w:val="001752CF"/>
    <w:rsid w:val="00175D5C"/>
    <w:rsid w:val="00175E89"/>
    <w:rsid w:val="001763AE"/>
    <w:rsid w:val="00176955"/>
    <w:rsid w:val="00176D54"/>
    <w:rsid w:val="001775DC"/>
    <w:rsid w:val="00177F5D"/>
    <w:rsid w:val="001818A3"/>
    <w:rsid w:val="00181D16"/>
    <w:rsid w:val="00182987"/>
    <w:rsid w:val="001846FB"/>
    <w:rsid w:val="001847DC"/>
    <w:rsid w:val="001848C7"/>
    <w:rsid w:val="001901D1"/>
    <w:rsid w:val="0019122B"/>
    <w:rsid w:val="001913A4"/>
    <w:rsid w:val="00191642"/>
    <w:rsid w:val="00191C71"/>
    <w:rsid w:val="0019351E"/>
    <w:rsid w:val="0019393D"/>
    <w:rsid w:val="00193E40"/>
    <w:rsid w:val="00193FA4"/>
    <w:rsid w:val="00195895"/>
    <w:rsid w:val="00195E4F"/>
    <w:rsid w:val="00197D29"/>
    <w:rsid w:val="001A05EF"/>
    <w:rsid w:val="001A1E08"/>
    <w:rsid w:val="001A2E04"/>
    <w:rsid w:val="001A3354"/>
    <w:rsid w:val="001A3E71"/>
    <w:rsid w:val="001A3EE9"/>
    <w:rsid w:val="001A5819"/>
    <w:rsid w:val="001A70BB"/>
    <w:rsid w:val="001A74B6"/>
    <w:rsid w:val="001B086B"/>
    <w:rsid w:val="001B0EB6"/>
    <w:rsid w:val="001B15F3"/>
    <w:rsid w:val="001B3CA6"/>
    <w:rsid w:val="001B42EA"/>
    <w:rsid w:val="001B6BA7"/>
    <w:rsid w:val="001B7235"/>
    <w:rsid w:val="001B73E4"/>
    <w:rsid w:val="001C04B9"/>
    <w:rsid w:val="001C04C5"/>
    <w:rsid w:val="001C188A"/>
    <w:rsid w:val="001C1B43"/>
    <w:rsid w:val="001C2179"/>
    <w:rsid w:val="001C2CAA"/>
    <w:rsid w:val="001C310E"/>
    <w:rsid w:val="001C49AB"/>
    <w:rsid w:val="001C4C79"/>
    <w:rsid w:val="001C5738"/>
    <w:rsid w:val="001C6128"/>
    <w:rsid w:val="001C6AF0"/>
    <w:rsid w:val="001D06D5"/>
    <w:rsid w:val="001D0CBA"/>
    <w:rsid w:val="001D1425"/>
    <w:rsid w:val="001D2350"/>
    <w:rsid w:val="001D31E7"/>
    <w:rsid w:val="001D32E4"/>
    <w:rsid w:val="001D66BF"/>
    <w:rsid w:val="001D690F"/>
    <w:rsid w:val="001D6D5C"/>
    <w:rsid w:val="001D70BE"/>
    <w:rsid w:val="001E0004"/>
    <w:rsid w:val="001E08C4"/>
    <w:rsid w:val="001E1202"/>
    <w:rsid w:val="001E1932"/>
    <w:rsid w:val="001E2291"/>
    <w:rsid w:val="001E2AA1"/>
    <w:rsid w:val="001E3348"/>
    <w:rsid w:val="001E4E0A"/>
    <w:rsid w:val="001E60FD"/>
    <w:rsid w:val="001E657D"/>
    <w:rsid w:val="001E662A"/>
    <w:rsid w:val="001E6E18"/>
    <w:rsid w:val="001E7EB7"/>
    <w:rsid w:val="001F00AA"/>
    <w:rsid w:val="001F0532"/>
    <w:rsid w:val="001F08B9"/>
    <w:rsid w:val="001F0CC1"/>
    <w:rsid w:val="001F18F8"/>
    <w:rsid w:val="001F3136"/>
    <w:rsid w:val="001F4E21"/>
    <w:rsid w:val="001F5650"/>
    <w:rsid w:val="001F5D2D"/>
    <w:rsid w:val="001F71E6"/>
    <w:rsid w:val="002002C3"/>
    <w:rsid w:val="002025F5"/>
    <w:rsid w:val="0020300A"/>
    <w:rsid w:val="00203261"/>
    <w:rsid w:val="00203830"/>
    <w:rsid w:val="00203EF6"/>
    <w:rsid w:val="0020441F"/>
    <w:rsid w:val="00204EAF"/>
    <w:rsid w:val="00204F3C"/>
    <w:rsid w:val="00205CC5"/>
    <w:rsid w:val="00206032"/>
    <w:rsid w:val="0020647E"/>
    <w:rsid w:val="002068BD"/>
    <w:rsid w:val="00206C06"/>
    <w:rsid w:val="002077BC"/>
    <w:rsid w:val="002105E8"/>
    <w:rsid w:val="00211E99"/>
    <w:rsid w:val="00212B8C"/>
    <w:rsid w:val="00213531"/>
    <w:rsid w:val="002135DE"/>
    <w:rsid w:val="00215625"/>
    <w:rsid w:val="002161DB"/>
    <w:rsid w:val="00216CF6"/>
    <w:rsid w:val="002178F3"/>
    <w:rsid w:val="00217E75"/>
    <w:rsid w:val="002203C8"/>
    <w:rsid w:val="00221D93"/>
    <w:rsid w:val="00223D5A"/>
    <w:rsid w:val="00224AC2"/>
    <w:rsid w:val="00226F00"/>
    <w:rsid w:val="0022734B"/>
    <w:rsid w:val="00230079"/>
    <w:rsid w:val="00231540"/>
    <w:rsid w:val="002319A2"/>
    <w:rsid w:val="002319E5"/>
    <w:rsid w:val="00231BC4"/>
    <w:rsid w:val="00232AF1"/>
    <w:rsid w:val="002341EF"/>
    <w:rsid w:val="00235F76"/>
    <w:rsid w:val="002363FA"/>
    <w:rsid w:val="002369AC"/>
    <w:rsid w:val="00237372"/>
    <w:rsid w:val="00237438"/>
    <w:rsid w:val="00237516"/>
    <w:rsid w:val="0023755B"/>
    <w:rsid w:val="00237781"/>
    <w:rsid w:val="002401F3"/>
    <w:rsid w:val="002409E1"/>
    <w:rsid w:val="00242291"/>
    <w:rsid w:val="00242F00"/>
    <w:rsid w:val="00244B72"/>
    <w:rsid w:val="00245D6A"/>
    <w:rsid w:val="00246A35"/>
    <w:rsid w:val="0024773F"/>
    <w:rsid w:val="00247A95"/>
    <w:rsid w:val="00247C3A"/>
    <w:rsid w:val="0025122F"/>
    <w:rsid w:val="0025133C"/>
    <w:rsid w:val="0025256D"/>
    <w:rsid w:val="00253E54"/>
    <w:rsid w:val="002544A7"/>
    <w:rsid w:val="002545F7"/>
    <w:rsid w:val="00255A2A"/>
    <w:rsid w:val="00255D97"/>
    <w:rsid w:val="0025671F"/>
    <w:rsid w:val="00256D14"/>
    <w:rsid w:val="00257680"/>
    <w:rsid w:val="00257D2E"/>
    <w:rsid w:val="002606E7"/>
    <w:rsid w:val="00264227"/>
    <w:rsid w:val="00264AE3"/>
    <w:rsid w:val="00265284"/>
    <w:rsid w:val="00265B8D"/>
    <w:rsid w:val="0026616A"/>
    <w:rsid w:val="002670E3"/>
    <w:rsid w:val="002671C0"/>
    <w:rsid w:val="00267D0A"/>
    <w:rsid w:val="00271588"/>
    <w:rsid w:val="00271D3C"/>
    <w:rsid w:val="0027471E"/>
    <w:rsid w:val="00274818"/>
    <w:rsid w:val="00275238"/>
    <w:rsid w:val="00277A6D"/>
    <w:rsid w:val="002804C0"/>
    <w:rsid w:val="00280705"/>
    <w:rsid w:val="00280EF9"/>
    <w:rsid w:val="002810CC"/>
    <w:rsid w:val="002826D4"/>
    <w:rsid w:val="00283D86"/>
    <w:rsid w:val="002848F6"/>
    <w:rsid w:val="00284A10"/>
    <w:rsid w:val="00284FD0"/>
    <w:rsid w:val="00285787"/>
    <w:rsid w:val="0028704F"/>
    <w:rsid w:val="002871C5"/>
    <w:rsid w:val="002906BE"/>
    <w:rsid w:val="00292B9F"/>
    <w:rsid w:val="00294A99"/>
    <w:rsid w:val="00294BEE"/>
    <w:rsid w:val="00294C8C"/>
    <w:rsid w:val="00294F2F"/>
    <w:rsid w:val="00296DB6"/>
    <w:rsid w:val="00297EDE"/>
    <w:rsid w:val="002A16D2"/>
    <w:rsid w:val="002A2388"/>
    <w:rsid w:val="002A27F5"/>
    <w:rsid w:val="002A3352"/>
    <w:rsid w:val="002A3CBC"/>
    <w:rsid w:val="002A3EEE"/>
    <w:rsid w:val="002A4431"/>
    <w:rsid w:val="002A4CCD"/>
    <w:rsid w:val="002B0286"/>
    <w:rsid w:val="002B161B"/>
    <w:rsid w:val="002B17BD"/>
    <w:rsid w:val="002B18EE"/>
    <w:rsid w:val="002B1DF2"/>
    <w:rsid w:val="002B1E76"/>
    <w:rsid w:val="002B1EC2"/>
    <w:rsid w:val="002B1F10"/>
    <w:rsid w:val="002B2947"/>
    <w:rsid w:val="002B2BF3"/>
    <w:rsid w:val="002B3A2F"/>
    <w:rsid w:val="002B584B"/>
    <w:rsid w:val="002B71B9"/>
    <w:rsid w:val="002C04FD"/>
    <w:rsid w:val="002C0D28"/>
    <w:rsid w:val="002C1760"/>
    <w:rsid w:val="002C2EB6"/>
    <w:rsid w:val="002C5816"/>
    <w:rsid w:val="002D08B8"/>
    <w:rsid w:val="002D0BFF"/>
    <w:rsid w:val="002D0EE9"/>
    <w:rsid w:val="002D1A3A"/>
    <w:rsid w:val="002D2221"/>
    <w:rsid w:val="002D2FBE"/>
    <w:rsid w:val="002D4972"/>
    <w:rsid w:val="002D5260"/>
    <w:rsid w:val="002D5995"/>
    <w:rsid w:val="002D5F31"/>
    <w:rsid w:val="002D5FA4"/>
    <w:rsid w:val="002D65F4"/>
    <w:rsid w:val="002D7651"/>
    <w:rsid w:val="002E07E3"/>
    <w:rsid w:val="002E2B3E"/>
    <w:rsid w:val="002E2E0B"/>
    <w:rsid w:val="002E3D0A"/>
    <w:rsid w:val="002E4010"/>
    <w:rsid w:val="002E457A"/>
    <w:rsid w:val="002E53BB"/>
    <w:rsid w:val="002E59F9"/>
    <w:rsid w:val="002E5FBC"/>
    <w:rsid w:val="002E639E"/>
    <w:rsid w:val="002E6FCC"/>
    <w:rsid w:val="002F0583"/>
    <w:rsid w:val="002F1C09"/>
    <w:rsid w:val="002F2280"/>
    <w:rsid w:val="002F2587"/>
    <w:rsid w:val="002F2AFA"/>
    <w:rsid w:val="002F48B5"/>
    <w:rsid w:val="002F5088"/>
    <w:rsid w:val="002F5A9A"/>
    <w:rsid w:val="002F64ED"/>
    <w:rsid w:val="002F66E7"/>
    <w:rsid w:val="002F67DB"/>
    <w:rsid w:val="002F69B3"/>
    <w:rsid w:val="002F6F65"/>
    <w:rsid w:val="002F7871"/>
    <w:rsid w:val="00300A9E"/>
    <w:rsid w:val="003014E7"/>
    <w:rsid w:val="0030156C"/>
    <w:rsid w:val="003029DE"/>
    <w:rsid w:val="0030541C"/>
    <w:rsid w:val="0030582F"/>
    <w:rsid w:val="0030633E"/>
    <w:rsid w:val="00306CE4"/>
    <w:rsid w:val="0030702B"/>
    <w:rsid w:val="00311613"/>
    <w:rsid w:val="003123ED"/>
    <w:rsid w:val="00313230"/>
    <w:rsid w:val="003138EF"/>
    <w:rsid w:val="003142A5"/>
    <w:rsid w:val="003144F2"/>
    <w:rsid w:val="00314E0E"/>
    <w:rsid w:val="003178F8"/>
    <w:rsid w:val="00317B43"/>
    <w:rsid w:val="00317D44"/>
    <w:rsid w:val="00317D45"/>
    <w:rsid w:val="00321CCB"/>
    <w:rsid w:val="00321FCF"/>
    <w:rsid w:val="0032438B"/>
    <w:rsid w:val="00324475"/>
    <w:rsid w:val="0032517D"/>
    <w:rsid w:val="003252F1"/>
    <w:rsid w:val="00326D69"/>
    <w:rsid w:val="00327467"/>
    <w:rsid w:val="00327B25"/>
    <w:rsid w:val="003304E9"/>
    <w:rsid w:val="0033069F"/>
    <w:rsid w:val="00331DF0"/>
    <w:rsid w:val="00331EA8"/>
    <w:rsid w:val="00332634"/>
    <w:rsid w:val="00333045"/>
    <w:rsid w:val="00333629"/>
    <w:rsid w:val="00334D37"/>
    <w:rsid w:val="00335CBA"/>
    <w:rsid w:val="0033759D"/>
    <w:rsid w:val="00337B57"/>
    <w:rsid w:val="0034104B"/>
    <w:rsid w:val="00341C7F"/>
    <w:rsid w:val="00342F11"/>
    <w:rsid w:val="00344943"/>
    <w:rsid w:val="003451D3"/>
    <w:rsid w:val="003452DD"/>
    <w:rsid w:val="00345304"/>
    <w:rsid w:val="003456B7"/>
    <w:rsid w:val="00347D9F"/>
    <w:rsid w:val="00350768"/>
    <w:rsid w:val="00350A31"/>
    <w:rsid w:val="00350C75"/>
    <w:rsid w:val="00350EFB"/>
    <w:rsid w:val="00350F1D"/>
    <w:rsid w:val="00352DEE"/>
    <w:rsid w:val="003532CD"/>
    <w:rsid w:val="00353403"/>
    <w:rsid w:val="0035368E"/>
    <w:rsid w:val="00354B78"/>
    <w:rsid w:val="003550AF"/>
    <w:rsid w:val="00356B4B"/>
    <w:rsid w:val="00360133"/>
    <w:rsid w:val="003604D7"/>
    <w:rsid w:val="00360861"/>
    <w:rsid w:val="003608D9"/>
    <w:rsid w:val="00361170"/>
    <w:rsid w:val="0036200D"/>
    <w:rsid w:val="003623B1"/>
    <w:rsid w:val="00363DE2"/>
    <w:rsid w:val="00364D6D"/>
    <w:rsid w:val="00365652"/>
    <w:rsid w:val="00365D1B"/>
    <w:rsid w:val="00366EF0"/>
    <w:rsid w:val="00366F8F"/>
    <w:rsid w:val="0036712C"/>
    <w:rsid w:val="0037036D"/>
    <w:rsid w:val="0037057D"/>
    <w:rsid w:val="00370B1A"/>
    <w:rsid w:val="00370DF0"/>
    <w:rsid w:val="00371DA3"/>
    <w:rsid w:val="00372077"/>
    <w:rsid w:val="00372096"/>
    <w:rsid w:val="003722C4"/>
    <w:rsid w:val="00372388"/>
    <w:rsid w:val="0037246A"/>
    <w:rsid w:val="00372DED"/>
    <w:rsid w:val="00372DFE"/>
    <w:rsid w:val="00373DF8"/>
    <w:rsid w:val="00373EC7"/>
    <w:rsid w:val="00375459"/>
    <w:rsid w:val="00376021"/>
    <w:rsid w:val="00376128"/>
    <w:rsid w:val="00376CB3"/>
    <w:rsid w:val="00377FC4"/>
    <w:rsid w:val="00380FDB"/>
    <w:rsid w:val="003815C5"/>
    <w:rsid w:val="00382BE2"/>
    <w:rsid w:val="00382DE7"/>
    <w:rsid w:val="00383727"/>
    <w:rsid w:val="0038389C"/>
    <w:rsid w:val="003838B9"/>
    <w:rsid w:val="00383930"/>
    <w:rsid w:val="00383F58"/>
    <w:rsid w:val="00384B3D"/>
    <w:rsid w:val="00385D8D"/>
    <w:rsid w:val="003860EA"/>
    <w:rsid w:val="00387A29"/>
    <w:rsid w:val="0039016F"/>
    <w:rsid w:val="00390F26"/>
    <w:rsid w:val="0039111B"/>
    <w:rsid w:val="00391CAE"/>
    <w:rsid w:val="003920A8"/>
    <w:rsid w:val="00394668"/>
    <w:rsid w:val="00394725"/>
    <w:rsid w:val="00394D87"/>
    <w:rsid w:val="003959FA"/>
    <w:rsid w:val="00395E1E"/>
    <w:rsid w:val="00396D89"/>
    <w:rsid w:val="003974BD"/>
    <w:rsid w:val="00397CF2"/>
    <w:rsid w:val="003A06AF"/>
    <w:rsid w:val="003A0E88"/>
    <w:rsid w:val="003A0F6A"/>
    <w:rsid w:val="003A31C0"/>
    <w:rsid w:val="003A3389"/>
    <w:rsid w:val="003A3BFC"/>
    <w:rsid w:val="003A40EB"/>
    <w:rsid w:val="003A5804"/>
    <w:rsid w:val="003A6912"/>
    <w:rsid w:val="003A731E"/>
    <w:rsid w:val="003A7820"/>
    <w:rsid w:val="003B0D79"/>
    <w:rsid w:val="003B106D"/>
    <w:rsid w:val="003B10C2"/>
    <w:rsid w:val="003B3087"/>
    <w:rsid w:val="003B34E4"/>
    <w:rsid w:val="003B4137"/>
    <w:rsid w:val="003B437A"/>
    <w:rsid w:val="003B4430"/>
    <w:rsid w:val="003C009B"/>
    <w:rsid w:val="003C0879"/>
    <w:rsid w:val="003C09D5"/>
    <w:rsid w:val="003C13DA"/>
    <w:rsid w:val="003C1D59"/>
    <w:rsid w:val="003C301F"/>
    <w:rsid w:val="003C647A"/>
    <w:rsid w:val="003C6E60"/>
    <w:rsid w:val="003D0A2E"/>
    <w:rsid w:val="003D13B4"/>
    <w:rsid w:val="003D1486"/>
    <w:rsid w:val="003D2310"/>
    <w:rsid w:val="003D26C6"/>
    <w:rsid w:val="003D2C32"/>
    <w:rsid w:val="003D308D"/>
    <w:rsid w:val="003D378B"/>
    <w:rsid w:val="003D471D"/>
    <w:rsid w:val="003D4800"/>
    <w:rsid w:val="003D4F00"/>
    <w:rsid w:val="003D5405"/>
    <w:rsid w:val="003D7079"/>
    <w:rsid w:val="003D7D4C"/>
    <w:rsid w:val="003E20B6"/>
    <w:rsid w:val="003E2AA9"/>
    <w:rsid w:val="003E2C87"/>
    <w:rsid w:val="003E3675"/>
    <w:rsid w:val="003E3773"/>
    <w:rsid w:val="003E3A2E"/>
    <w:rsid w:val="003E3C6A"/>
    <w:rsid w:val="003E438F"/>
    <w:rsid w:val="003E4782"/>
    <w:rsid w:val="003E597C"/>
    <w:rsid w:val="003E663A"/>
    <w:rsid w:val="003E6D07"/>
    <w:rsid w:val="003E7490"/>
    <w:rsid w:val="003E7CEA"/>
    <w:rsid w:val="003F0125"/>
    <w:rsid w:val="003F12C6"/>
    <w:rsid w:val="003F1B9C"/>
    <w:rsid w:val="003F2561"/>
    <w:rsid w:val="003F269D"/>
    <w:rsid w:val="003F2B06"/>
    <w:rsid w:val="003F3039"/>
    <w:rsid w:val="003F320D"/>
    <w:rsid w:val="003F33C1"/>
    <w:rsid w:val="003F4708"/>
    <w:rsid w:val="003F4DCD"/>
    <w:rsid w:val="003F53C7"/>
    <w:rsid w:val="003F5DF2"/>
    <w:rsid w:val="003F60F4"/>
    <w:rsid w:val="003F67E5"/>
    <w:rsid w:val="003F7D9D"/>
    <w:rsid w:val="003F7F08"/>
    <w:rsid w:val="00403885"/>
    <w:rsid w:val="00403ABA"/>
    <w:rsid w:val="00403C44"/>
    <w:rsid w:val="0040427D"/>
    <w:rsid w:val="004047A8"/>
    <w:rsid w:val="004050DD"/>
    <w:rsid w:val="00405B60"/>
    <w:rsid w:val="00405E44"/>
    <w:rsid w:val="00405FAA"/>
    <w:rsid w:val="00406669"/>
    <w:rsid w:val="00406B88"/>
    <w:rsid w:val="00407A35"/>
    <w:rsid w:val="00410262"/>
    <w:rsid w:val="00410B73"/>
    <w:rsid w:val="00410E31"/>
    <w:rsid w:val="004117AC"/>
    <w:rsid w:val="004122E5"/>
    <w:rsid w:val="004129FF"/>
    <w:rsid w:val="00413B31"/>
    <w:rsid w:val="00413FA2"/>
    <w:rsid w:val="0041580A"/>
    <w:rsid w:val="00416E43"/>
    <w:rsid w:val="0041783D"/>
    <w:rsid w:val="00421FE0"/>
    <w:rsid w:val="00422B28"/>
    <w:rsid w:val="00424123"/>
    <w:rsid w:val="00426AD7"/>
    <w:rsid w:val="00427F20"/>
    <w:rsid w:val="00430433"/>
    <w:rsid w:val="004305AF"/>
    <w:rsid w:val="0043069D"/>
    <w:rsid w:val="004314B1"/>
    <w:rsid w:val="00431C16"/>
    <w:rsid w:val="00433438"/>
    <w:rsid w:val="00434694"/>
    <w:rsid w:val="004353F2"/>
    <w:rsid w:val="0043572D"/>
    <w:rsid w:val="00435E00"/>
    <w:rsid w:val="004360E1"/>
    <w:rsid w:val="004365C9"/>
    <w:rsid w:val="00437AE2"/>
    <w:rsid w:val="004403BF"/>
    <w:rsid w:val="00441DA1"/>
    <w:rsid w:val="00444B94"/>
    <w:rsid w:val="00445A04"/>
    <w:rsid w:val="00445B66"/>
    <w:rsid w:val="004461CD"/>
    <w:rsid w:val="004465E3"/>
    <w:rsid w:val="00450E47"/>
    <w:rsid w:val="00451BA9"/>
    <w:rsid w:val="004529AC"/>
    <w:rsid w:val="004529CB"/>
    <w:rsid w:val="00453568"/>
    <w:rsid w:val="00454E7A"/>
    <w:rsid w:val="00455B5A"/>
    <w:rsid w:val="00455C97"/>
    <w:rsid w:val="0045737A"/>
    <w:rsid w:val="00457A0B"/>
    <w:rsid w:val="00460AE1"/>
    <w:rsid w:val="004610FB"/>
    <w:rsid w:val="004611CD"/>
    <w:rsid w:val="004615BA"/>
    <w:rsid w:val="004620D1"/>
    <w:rsid w:val="004626A0"/>
    <w:rsid w:val="00462761"/>
    <w:rsid w:val="00462874"/>
    <w:rsid w:val="00462B48"/>
    <w:rsid w:val="00463464"/>
    <w:rsid w:val="00463755"/>
    <w:rsid w:val="00464CB7"/>
    <w:rsid w:val="00465312"/>
    <w:rsid w:val="00470706"/>
    <w:rsid w:val="004708E3"/>
    <w:rsid w:val="0047186C"/>
    <w:rsid w:val="00471CB6"/>
    <w:rsid w:val="00474DC9"/>
    <w:rsid w:val="004753A4"/>
    <w:rsid w:val="004760CF"/>
    <w:rsid w:val="00477E48"/>
    <w:rsid w:val="00480799"/>
    <w:rsid w:val="0048083F"/>
    <w:rsid w:val="00480DEE"/>
    <w:rsid w:val="00480E42"/>
    <w:rsid w:val="00481401"/>
    <w:rsid w:val="0048275E"/>
    <w:rsid w:val="00483CCA"/>
    <w:rsid w:val="004847DF"/>
    <w:rsid w:val="00484AB2"/>
    <w:rsid w:val="00484F9D"/>
    <w:rsid w:val="00485439"/>
    <w:rsid w:val="00486BBF"/>
    <w:rsid w:val="00487E7B"/>
    <w:rsid w:val="00487F98"/>
    <w:rsid w:val="00491A9B"/>
    <w:rsid w:val="00493012"/>
    <w:rsid w:val="004937EB"/>
    <w:rsid w:val="00494D3E"/>
    <w:rsid w:val="004950CC"/>
    <w:rsid w:val="004951E5"/>
    <w:rsid w:val="0049611D"/>
    <w:rsid w:val="00496801"/>
    <w:rsid w:val="0049759C"/>
    <w:rsid w:val="004A0508"/>
    <w:rsid w:val="004A0E64"/>
    <w:rsid w:val="004A106D"/>
    <w:rsid w:val="004A12EE"/>
    <w:rsid w:val="004A26CB"/>
    <w:rsid w:val="004A2A39"/>
    <w:rsid w:val="004A2F44"/>
    <w:rsid w:val="004A3542"/>
    <w:rsid w:val="004A35A7"/>
    <w:rsid w:val="004A3EB0"/>
    <w:rsid w:val="004A4079"/>
    <w:rsid w:val="004A4174"/>
    <w:rsid w:val="004A491E"/>
    <w:rsid w:val="004A512B"/>
    <w:rsid w:val="004A56C1"/>
    <w:rsid w:val="004A74B0"/>
    <w:rsid w:val="004A76AC"/>
    <w:rsid w:val="004A77FC"/>
    <w:rsid w:val="004A7A4E"/>
    <w:rsid w:val="004A7B3A"/>
    <w:rsid w:val="004B09E3"/>
    <w:rsid w:val="004B1F41"/>
    <w:rsid w:val="004B21F0"/>
    <w:rsid w:val="004B3559"/>
    <w:rsid w:val="004B595D"/>
    <w:rsid w:val="004B7001"/>
    <w:rsid w:val="004B71D0"/>
    <w:rsid w:val="004B7EE7"/>
    <w:rsid w:val="004C0D5E"/>
    <w:rsid w:val="004C1333"/>
    <w:rsid w:val="004C15D0"/>
    <w:rsid w:val="004C15D8"/>
    <w:rsid w:val="004C3CB7"/>
    <w:rsid w:val="004C4513"/>
    <w:rsid w:val="004C483F"/>
    <w:rsid w:val="004C48D2"/>
    <w:rsid w:val="004C5118"/>
    <w:rsid w:val="004C5C4F"/>
    <w:rsid w:val="004C6306"/>
    <w:rsid w:val="004C6D98"/>
    <w:rsid w:val="004C715D"/>
    <w:rsid w:val="004D0557"/>
    <w:rsid w:val="004D0DDB"/>
    <w:rsid w:val="004D1487"/>
    <w:rsid w:val="004D1D8C"/>
    <w:rsid w:val="004D2B82"/>
    <w:rsid w:val="004D2D0E"/>
    <w:rsid w:val="004D341A"/>
    <w:rsid w:val="004D4A05"/>
    <w:rsid w:val="004D4EF6"/>
    <w:rsid w:val="004D5468"/>
    <w:rsid w:val="004D570A"/>
    <w:rsid w:val="004D6B6C"/>
    <w:rsid w:val="004D77AC"/>
    <w:rsid w:val="004E025C"/>
    <w:rsid w:val="004E04D6"/>
    <w:rsid w:val="004E3687"/>
    <w:rsid w:val="004E37C2"/>
    <w:rsid w:val="004E4426"/>
    <w:rsid w:val="004E4F33"/>
    <w:rsid w:val="004E7062"/>
    <w:rsid w:val="004E7383"/>
    <w:rsid w:val="004F23FF"/>
    <w:rsid w:val="004F2485"/>
    <w:rsid w:val="004F2BB9"/>
    <w:rsid w:val="004F308F"/>
    <w:rsid w:val="004F3253"/>
    <w:rsid w:val="004F39AB"/>
    <w:rsid w:val="004F4FB9"/>
    <w:rsid w:val="004F6DC6"/>
    <w:rsid w:val="004F6F5C"/>
    <w:rsid w:val="004F7F6A"/>
    <w:rsid w:val="005002BC"/>
    <w:rsid w:val="00500FDE"/>
    <w:rsid w:val="00502CD4"/>
    <w:rsid w:val="00506291"/>
    <w:rsid w:val="00506550"/>
    <w:rsid w:val="00506F65"/>
    <w:rsid w:val="00507F42"/>
    <w:rsid w:val="00512D7E"/>
    <w:rsid w:val="00513906"/>
    <w:rsid w:val="00514208"/>
    <w:rsid w:val="0051717C"/>
    <w:rsid w:val="005228DC"/>
    <w:rsid w:val="00522932"/>
    <w:rsid w:val="00523825"/>
    <w:rsid w:val="00523922"/>
    <w:rsid w:val="00524FE7"/>
    <w:rsid w:val="00525A39"/>
    <w:rsid w:val="00525D8B"/>
    <w:rsid w:val="0052618E"/>
    <w:rsid w:val="00526673"/>
    <w:rsid w:val="00526719"/>
    <w:rsid w:val="00526DC5"/>
    <w:rsid w:val="00527316"/>
    <w:rsid w:val="0053008F"/>
    <w:rsid w:val="005303B7"/>
    <w:rsid w:val="00531B07"/>
    <w:rsid w:val="00532154"/>
    <w:rsid w:val="00532209"/>
    <w:rsid w:val="0053225F"/>
    <w:rsid w:val="00532556"/>
    <w:rsid w:val="00532B7A"/>
    <w:rsid w:val="00532EA2"/>
    <w:rsid w:val="00533A2B"/>
    <w:rsid w:val="005343A1"/>
    <w:rsid w:val="00534915"/>
    <w:rsid w:val="00534EC7"/>
    <w:rsid w:val="00536BEE"/>
    <w:rsid w:val="00536DDD"/>
    <w:rsid w:val="005377FB"/>
    <w:rsid w:val="005417E5"/>
    <w:rsid w:val="00541846"/>
    <w:rsid w:val="00541FCD"/>
    <w:rsid w:val="00544338"/>
    <w:rsid w:val="005464A9"/>
    <w:rsid w:val="005473C3"/>
    <w:rsid w:val="00547874"/>
    <w:rsid w:val="00547B24"/>
    <w:rsid w:val="005505BF"/>
    <w:rsid w:val="00551C5A"/>
    <w:rsid w:val="00552B8F"/>
    <w:rsid w:val="00552D4C"/>
    <w:rsid w:val="00553017"/>
    <w:rsid w:val="005532B5"/>
    <w:rsid w:val="0055388F"/>
    <w:rsid w:val="00553DB5"/>
    <w:rsid w:val="005546D6"/>
    <w:rsid w:val="00554CA9"/>
    <w:rsid w:val="00555F46"/>
    <w:rsid w:val="00556E42"/>
    <w:rsid w:val="005570E1"/>
    <w:rsid w:val="0055798D"/>
    <w:rsid w:val="00562426"/>
    <w:rsid w:val="005630F7"/>
    <w:rsid w:val="00563D13"/>
    <w:rsid w:val="00563F6A"/>
    <w:rsid w:val="005645D2"/>
    <w:rsid w:val="00564A5C"/>
    <w:rsid w:val="00565594"/>
    <w:rsid w:val="00566031"/>
    <w:rsid w:val="005675C3"/>
    <w:rsid w:val="005679CE"/>
    <w:rsid w:val="00567D9B"/>
    <w:rsid w:val="005704E5"/>
    <w:rsid w:val="00570781"/>
    <w:rsid w:val="00571CEF"/>
    <w:rsid w:val="005733BB"/>
    <w:rsid w:val="00575434"/>
    <w:rsid w:val="0057577A"/>
    <w:rsid w:val="00575A76"/>
    <w:rsid w:val="00576E1A"/>
    <w:rsid w:val="0057799D"/>
    <w:rsid w:val="00583265"/>
    <w:rsid w:val="005832F0"/>
    <w:rsid w:val="005845CE"/>
    <w:rsid w:val="00586B88"/>
    <w:rsid w:val="005873F5"/>
    <w:rsid w:val="0059202A"/>
    <w:rsid w:val="00593298"/>
    <w:rsid w:val="00596858"/>
    <w:rsid w:val="0059798B"/>
    <w:rsid w:val="00597A12"/>
    <w:rsid w:val="005A02ED"/>
    <w:rsid w:val="005A0FFB"/>
    <w:rsid w:val="005A214A"/>
    <w:rsid w:val="005A4160"/>
    <w:rsid w:val="005A53B5"/>
    <w:rsid w:val="005A5A56"/>
    <w:rsid w:val="005A5F09"/>
    <w:rsid w:val="005A6053"/>
    <w:rsid w:val="005B2133"/>
    <w:rsid w:val="005B217A"/>
    <w:rsid w:val="005B2703"/>
    <w:rsid w:val="005B5A33"/>
    <w:rsid w:val="005C16F0"/>
    <w:rsid w:val="005C1C3D"/>
    <w:rsid w:val="005C1E04"/>
    <w:rsid w:val="005C4E83"/>
    <w:rsid w:val="005C5D59"/>
    <w:rsid w:val="005C5EA6"/>
    <w:rsid w:val="005C6E7E"/>
    <w:rsid w:val="005C7418"/>
    <w:rsid w:val="005D0D09"/>
    <w:rsid w:val="005D0E38"/>
    <w:rsid w:val="005D2EF8"/>
    <w:rsid w:val="005D3B76"/>
    <w:rsid w:val="005D4366"/>
    <w:rsid w:val="005D4926"/>
    <w:rsid w:val="005D4AAE"/>
    <w:rsid w:val="005D51D2"/>
    <w:rsid w:val="005D5BA0"/>
    <w:rsid w:val="005D62F4"/>
    <w:rsid w:val="005D6978"/>
    <w:rsid w:val="005D7306"/>
    <w:rsid w:val="005D7C70"/>
    <w:rsid w:val="005E021A"/>
    <w:rsid w:val="005E0472"/>
    <w:rsid w:val="005E34F6"/>
    <w:rsid w:val="005E453E"/>
    <w:rsid w:val="005E4BAA"/>
    <w:rsid w:val="005E4F22"/>
    <w:rsid w:val="005E58D7"/>
    <w:rsid w:val="005E5FD3"/>
    <w:rsid w:val="005E63AF"/>
    <w:rsid w:val="005E7A6E"/>
    <w:rsid w:val="005F1257"/>
    <w:rsid w:val="005F1497"/>
    <w:rsid w:val="005F1735"/>
    <w:rsid w:val="005F1C4A"/>
    <w:rsid w:val="005F2286"/>
    <w:rsid w:val="005F242E"/>
    <w:rsid w:val="005F25CF"/>
    <w:rsid w:val="005F3255"/>
    <w:rsid w:val="005F32D5"/>
    <w:rsid w:val="005F4752"/>
    <w:rsid w:val="005F4C99"/>
    <w:rsid w:val="005F4EAE"/>
    <w:rsid w:val="005F594A"/>
    <w:rsid w:val="005F743D"/>
    <w:rsid w:val="005F769C"/>
    <w:rsid w:val="0060129F"/>
    <w:rsid w:val="00603BC6"/>
    <w:rsid w:val="00604937"/>
    <w:rsid w:val="00604A2B"/>
    <w:rsid w:val="0060639D"/>
    <w:rsid w:val="00607C7C"/>
    <w:rsid w:val="00610460"/>
    <w:rsid w:val="00610991"/>
    <w:rsid w:val="00611D4D"/>
    <w:rsid w:val="00611D6A"/>
    <w:rsid w:val="00611F72"/>
    <w:rsid w:val="006126B6"/>
    <w:rsid w:val="00612BBC"/>
    <w:rsid w:val="00613A56"/>
    <w:rsid w:val="00613C80"/>
    <w:rsid w:val="00613D4E"/>
    <w:rsid w:val="006146A5"/>
    <w:rsid w:val="00616122"/>
    <w:rsid w:val="006176CE"/>
    <w:rsid w:val="00617915"/>
    <w:rsid w:val="00620D41"/>
    <w:rsid w:val="0062292B"/>
    <w:rsid w:val="00622A6A"/>
    <w:rsid w:val="006235DD"/>
    <w:rsid w:val="0062508E"/>
    <w:rsid w:val="006262E3"/>
    <w:rsid w:val="006272ED"/>
    <w:rsid w:val="006300C0"/>
    <w:rsid w:val="006304BA"/>
    <w:rsid w:val="006307ED"/>
    <w:rsid w:val="00630A5C"/>
    <w:rsid w:val="00631478"/>
    <w:rsid w:val="0063194A"/>
    <w:rsid w:val="00632A03"/>
    <w:rsid w:val="00632E85"/>
    <w:rsid w:val="0063461A"/>
    <w:rsid w:val="006352BA"/>
    <w:rsid w:val="00636730"/>
    <w:rsid w:val="00636EFB"/>
    <w:rsid w:val="0064050C"/>
    <w:rsid w:val="00641207"/>
    <w:rsid w:val="00641C5A"/>
    <w:rsid w:val="00643FB7"/>
    <w:rsid w:val="00644921"/>
    <w:rsid w:val="00645B43"/>
    <w:rsid w:val="0064614F"/>
    <w:rsid w:val="0064681E"/>
    <w:rsid w:val="00646CD1"/>
    <w:rsid w:val="006473BF"/>
    <w:rsid w:val="00651519"/>
    <w:rsid w:val="00651CD2"/>
    <w:rsid w:val="006521E5"/>
    <w:rsid w:val="00652D12"/>
    <w:rsid w:val="00654039"/>
    <w:rsid w:val="006560AE"/>
    <w:rsid w:val="0065624F"/>
    <w:rsid w:val="00660090"/>
    <w:rsid w:val="0066158F"/>
    <w:rsid w:val="006627D8"/>
    <w:rsid w:val="00662B14"/>
    <w:rsid w:val="00662CEB"/>
    <w:rsid w:val="00665BFD"/>
    <w:rsid w:val="006663AC"/>
    <w:rsid w:val="00666A62"/>
    <w:rsid w:val="00666CA6"/>
    <w:rsid w:val="00667D36"/>
    <w:rsid w:val="00667DA4"/>
    <w:rsid w:val="00667F1B"/>
    <w:rsid w:val="006705B8"/>
    <w:rsid w:val="00670653"/>
    <w:rsid w:val="00670B44"/>
    <w:rsid w:val="00672558"/>
    <w:rsid w:val="00672612"/>
    <w:rsid w:val="0067336F"/>
    <w:rsid w:val="00675AE6"/>
    <w:rsid w:val="00676DCC"/>
    <w:rsid w:val="00677ADD"/>
    <w:rsid w:val="00680108"/>
    <w:rsid w:val="00680127"/>
    <w:rsid w:val="006824C5"/>
    <w:rsid w:val="00683762"/>
    <w:rsid w:val="00684FB0"/>
    <w:rsid w:val="0068535B"/>
    <w:rsid w:val="0068606B"/>
    <w:rsid w:val="00686199"/>
    <w:rsid w:val="006869A7"/>
    <w:rsid w:val="00686B90"/>
    <w:rsid w:val="0068715A"/>
    <w:rsid w:val="0068759B"/>
    <w:rsid w:val="00687E09"/>
    <w:rsid w:val="0069215B"/>
    <w:rsid w:val="00693934"/>
    <w:rsid w:val="006945D5"/>
    <w:rsid w:val="00694DF6"/>
    <w:rsid w:val="00695209"/>
    <w:rsid w:val="00695743"/>
    <w:rsid w:val="00695AC1"/>
    <w:rsid w:val="00695B22"/>
    <w:rsid w:val="00697A5E"/>
    <w:rsid w:val="006A05D7"/>
    <w:rsid w:val="006A165A"/>
    <w:rsid w:val="006A39E4"/>
    <w:rsid w:val="006A4447"/>
    <w:rsid w:val="006A5B08"/>
    <w:rsid w:val="006A61B3"/>
    <w:rsid w:val="006A72D4"/>
    <w:rsid w:val="006A762E"/>
    <w:rsid w:val="006A772C"/>
    <w:rsid w:val="006A7F07"/>
    <w:rsid w:val="006A7F5D"/>
    <w:rsid w:val="006B0703"/>
    <w:rsid w:val="006B1293"/>
    <w:rsid w:val="006B142C"/>
    <w:rsid w:val="006B28C6"/>
    <w:rsid w:val="006B374D"/>
    <w:rsid w:val="006B3972"/>
    <w:rsid w:val="006B3DA4"/>
    <w:rsid w:val="006B45F6"/>
    <w:rsid w:val="006B5F62"/>
    <w:rsid w:val="006B616D"/>
    <w:rsid w:val="006B6A18"/>
    <w:rsid w:val="006B6AB1"/>
    <w:rsid w:val="006B6E39"/>
    <w:rsid w:val="006B7A2D"/>
    <w:rsid w:val="006C115B"/>
    <w:rsid w:val="006C12C3"/>
    <w:rsid w:val="006C1EAB"/>
    <w:rsid w:val="006C26C2"/>
    <w:rsid w:val="006C3433"/>
    <w:rsid w:val="006C3696"/>
    <w:rsid w:val="006C376F"/>
    <w:rsid w:val="006C3C6D"/>
    <w:rsid w:val="006C43F1"/>
    <w:rsid w:val="006C455F"/>
    <w:rsid w:val="006C5B9C"/>
    <w:rsid w:val="006C75EA"/>
    <w:rsid w:val="006D0283"/>
    <w:rsid w:val="006D1CBC"/>
    <w:rsid w:val="006D21E5"/>
    <w:rsid w:val="006D3620"/>
    <w:rsid w:val="006D37C7"/>
    <w:rsid w:val="006D4C24"/>
    <w:rsid w:val="006D4C7B"/>
    <w:rsid w:val="006D50C8"/>
    <w:rsid w:val="006D618B"/>
    <w:rsid w:val="006D69B0"/>
    <w:rsid w:val="006D7C1E"/>
    <w:rsid w:val="006D7C46"/>
    <w:rsid w:val="006D7E2F"/>
    <w:rsid w:val="006E0679"/>
    <w:rsid w:val="006E16CE"/>
    <w:rsid w:val="006E187B"/>
    <w:rsid w:val="006E3022"/>
    <w:rsid w:val="006E3406"/>
    <w:rsid w:val="006E46F1"/>
    <w:rsid w:val="006E5BBC"/>
    <w:rsid w:val="006E6ED1"/>
    <w:rsid w:val="006F2244"/>
    <w:rsid w:val="006F263F"/>
    <w:rsid w:val="006F295E"/>
    <w:rsid w:val="006F2BB3"/>
    <w:rsid w:val="006F3CD3"/>
    <w:rsid w:val="006F49BB"/>
    <w:rsid w:val="006F4D1F"/>
    <w:rsid w:val="006F5F30"/>
    <w:rsid w:val="006F6860"/>
    <w:rsid w:val="006F757F"/>
    <w:rsid w:val="006F770F"/>
    <w:rsid w:val="006F7CC0"/>
    <w:rsid w:val="00700741"/>
    <w:rsid w:val="00701E65"/>
    <w:rsid w:val="00702798"/>
    <w:rsid w:val="00703E16"/>
    <w:rsid w:val="0070459A"/>
    <w:rsid w:val="00705F3D"/>
    <w:rsid w:val="007078BF"/>
    <w:rsid w:val="00710391"/>
    <w:rsid w:val="00710DEE"/>
    <w:rsid w:val="00711E22"/>
    <w:rsid w:val="00712062"/>
    <w:rsid w:val="00712161"/>
    <w:rsid w:val="00712EB4"/>
    <w:rsid w:val="007130E6"/>
    <w:rsid w:val="007144EB"/>
    <w:rsid w:val="00714856"/>
    <w:rsid w:val="007150E0"/>
    <w:rsid w:val="00716FD4"/>
    <w:rsid w:val="0072130C"/>
    <w:rsid w:val="00721637"/>
    <w:rsid w:val="00721C3F"/>
    <w:rsid w:val="0072264B"/>
    <w:rsid w:val="0072293C"/>
    <w:rsid w:val="00722C38"/>
    <w:rsid w:val="00723797"/>
    <w:rsid w:val="00723846"/>
    <w:rsid w:val="00723EC7"/>
    <w:rsid w:val="00724D45"/>
    <w:rsid w:val="00726CE7"/>
    <w:rsid w:val="00727B14"/>
    <w:rsid w:val="007315E1"/>
    <w:rsid w:val="00731A2A"/>
    <w:rsid w:val="00731B92"/>
    <w:rsid w:val="00732D78"/>
    <w:rsid w:val="007336EF"/>
    <w:rsid w:val="007340AE"/>
    <w:rsid w:val="0073483F"/>
    <w:rsid w:val="00737023"/>
    <w:rsid w:val="0073772C"/>
    <w:rsid w:val="007408B5"/>
    <w:rsid w:val="00741136"/>
    <w:rsid w:val="00741C07"/>
    <w:rsid w:val="00741FF8"/>
    <w:rsid w:val="007425FC"/>
    <w:rsid w:val="0074284B"/>
    <w:rsid w:val="00742E54"/>
    <w:rsid w:val="007430F9"/>
    <w:rsid w:val="00743809"/>
    <w:rsid w:val="00743FD7"/>
    <w:rsid w:val="007442AF"/>
    <w:rsid w:val="007460E2"/>
    <w:rsid w:val="00747265"/>
    <w:rsid w:val="00750194"/>
    <w:rsid w:val="00750B92"/>
    <w:rsid w:val="007532E5"/>
    <w:rsid w:val="00753898"/>
    <w:rsid w:val="0075417C"/>
    <w:rsid w:val="007547F5"/>
    <w:rsid w:val="00755016"/>
    <w:rsid w:val="00756F30"/>
    <w:rsid w:val="00761923"/>
    <w:rsid w:val="00763894"/>
    <w:rsid w:val="00764215"/>
    <w:rsid w:val="007655EA"/>
    <w:rsid w:val="00765FC4"/>
    <w:rsid w:val="007665EF"/>
    <w:rsid w:val="0076681A"/>
    <w:rsid w:val="0076691B"/>
    <w:rsid w:val="00767CAD"/>
    <w:rsid w:val="0077068C"/>
    <w:rsid w:val="00770837"/>
    <w:rsid w:val="00770A91"/>
    <w:rsid w:val="00773E2C"/>
    <w:rsid w:val="007767A4"/>
    <w:rsid w:val="007769C8"/>
    <w:rsid w:val="00780091"/>
    <w:rsid w:val="00780CE6"/>
    <w:rsid w:val="00780DFC"/>
    <w:rsid w:val="00782010"/>
    <w:rsid w:val="007832BE"/>
    <w:rsid w:val="00783DA0"/>
    <w:rsid w:val="0078441A"/>
    <w:rsid w:val="00784B64"/>
    <w:rsid w:val="00786EE5"/>
    <w:rsid w:val="007871A2"/>
    <w:rsid w:val="0079066D"/>
    <w:rsid w:val="00790AD4"/>
    <w:rsid w:val="00791A9A"/>
    <w:rsid w:val="0079201D"/>
    <w:rsid w:val="007940B5"/>
    <w:rsid w:val="00794801"/>
    <w:rsid w:val="00794D19"/>
    <w:rsid w:val="0079631A"/>
    <w:rsid w:val="0079649E"/>
    <w:rsid w:val="00796D52"/>
    <w:rsid w:val="00796DB4"/>
    <w:rsid w:val="00797032"/>
    <w:rsid w:val="0079757B"/>
    <w:rsid w:val="007A0AA0"/>
    <w:rsid w:val="007A0ABA"/>
    <w:rsid w:val="007A1687"/>
    <w:rsid w:val="007A27A7"/>
    <w:rsid w:val="007A2D22"/>
    <w:rsid w:val="007A3BBB"/>
    <w:rsid w:val="007A50A7"/>
    <w:rsid w:val="007A658A"/>
    <w:rsid w:val="007A6D6B"/>
    <w:rsid w:val="007A775E"/>
    <w:rsid w:val="007B0F06"/>
    <w:rsid w:val="007B269F"/>
    <w:rsid w:val="007B3639"/>
    <w:rsid w:val="007B3A6F"/>
    <w:rsid w:val="007B4BCB"/>
    <w:rsid w:val="007B53DD"/>
    <w:rsid w:val="007B712C"/>
    <w:rsid w:val="007B78B8"/>
    <w:rsid w:val="007B799F"/>
    <w:rsid w:val="007C0A77"/>
    <w:rsid w:val="007C0BF5"/>
    <w:rsid w:val="007C0C66"/>
    <w:rsid w:val="007C0CEF"/>
    <w:rsid w:val="007C1562"/>
    <w:rsid w:val="007C17E5"/>
    <w:rsid w:val="007C322E"/>
    <w:rsid w:val="007C4249"/>
    <w:rsid w:val="007C4E85"/>
    <w:rsid w:val="007C5341"/>
    <w:rsid w:val="007C53EB"/>
    <w:rsid w:val="007C541C"/>
    <w:rsid w:val="007C63A9"/>
    <w:rsid w:val="007C6C3C"/>
    <w:rsid w:val="007C6E80"/>
    <w:rsid w:val="007C6F7C"/>
    <w:rsid w:val="007C749C"/>
    <w:rsid w:val="007C7A7F"/>
    <w:rsid w:val="007D0318"/>
    <w:rsid w:val="007D0CD0"/>
    <w:rsid w:val="007D11D7"/>
    <w:rsid w:val="007D219E"/>
    <w:rsid w:val="007D3679"/>
    <w:rsid w:val="007D37B4"/>
    <w:rsid w:val="007D39A5"/>
    <w:rsid w:val="007D40C2"/>
    <w:rsid w:val="007D4972"/>
    <w:rsid w:val="007D57D9"/>
    <w:rsid w:val="007D6A47"/>
    <w:rsid w:val="007D7044"/>
    <w:rsid w:val="007D7D7E"/>
    <w:rsid w:val="007E21D4"/>
    <w:rsid w:val="007E22EB"/>
    <w:rsid w:val="007E2985"/>
    <w:rsid w:val="007E31BE"/>
    <w:rsid w:val="007E382B"/>
    <w:rsid w:val="007E3E24"/>
    <w:rsid w:val="007E3E73"/>
    <w:rsid w:val="007E538C"/>
    <w:rsid w:val="007E6800"/>
    <w:rsid w:val="007E7987"/>
    <w:rsid w:val="007E7D16"/>
    <w:rsid w:val="007F091A"/>
    <w:rsid w:val="007F12B0"/>
    <w:rsid w:val="007F3AC1"/>
    <w:rsid w:val="007F4AD2"/>
    <w:rsid w:val="007F7CED"/>
    <w:rsid w:val="007F7D0B"/>
    <w:rsid w:val="0080419C"/>
    <w:rsid w:val="00804319"/>
    <w:rsid w:val="008049CD"/>
    <w:rsid w:val="008072B3"/>
    <w:rsid w:val="00807F49"/>
    <w:rsid w:val="00811760"/>
    <w:rsid w:val="008117D4"/>
    <w:rsid w:val="008129A4"/>
    <w:rsid w:val="00812C79"/>
    <w:rsid w:val="008134C9"/>
    <w:rsid w:val="00814101"/>
    <w:rsid w:val="008161D5"/>
    <w:rsid w:val="0081693F"/>
    <w:rsid w:val="00817985"/>
    <w:rsid w:val="00817C9C"/>
    <w:rsid w:val="00820047"/>
    <w:rsid w:val="00820395"/>
    <w:rsid w:val="00820A1F"/>
    <w:rsid w:val="008213AA"/>
    <w:rsid w:val="00821DE2"/>
    <w:rsid w:val="008221AF"/>
    <w:rsid w:val="00822864"/>
    <w:rsid w:val="0082424B"/>
    <w:rsid w:val="00824D4A"/>
    <w:rsid w:val="00825302"/>
    <w:rsid w:val="0082571D"/>
    <w:rsid w:val="00827E23"/>
    <w:rsid w:val="008300C9"/>
    <w:rsid w:val="00832582"/>
    <w:rsid w:val="00832B21"/>
    <w:rsid w:val="008331FD"/>
    <w:rsid w:val="00833462"/>
    <w:rsid w:val="0083385B"/>
    <w:rsid w:val="008345E5"/>
    <w:rsid w:val="00834E4E"/>
    <w:rsid w:val="008353D1"/>
    <w:rsid w:val="00835ADE"/>
    <w:rsid w:val="008364C6"/>
    <w:rsid w:val="00836554"/>
    <w:rsid w:val="008368CE"/>
    <w:rsid w:val="00837226"/>
    <w:rsid w:val="00840621"/>
    <w:rsid w:val="00841056"/>
    <w:rsid w:val="00841468"/>
    <w:rsid w:val="0084297E"/>
    <w:rsid w:val="0084381E"/>
    <w:rsid w:val="00843A80"/>
    <w:rsid w:val="00844107"/>
    <w:rsid w:val="008443A7"/>
    <w:rsid w:val="00850153"/>
    <w:rsid w:val="008507F7"/>
    <w:rsid w:val="00850D2D"/>
    <w:rsid w:val="0085137F"/>
    <w:rsid w:val="00851888"/>
    <w:rsid w:val="0085216D"/>
    <w:rsid w:val="0085333A"/>
    <w:rsid w:val="00854417"/>
    <w:rsid w:val="0085527F"/>
    <w:rsid w:val="0085624F"/>
    <w:rsid w:val="008622AA"/>
    <w:rsid w:val="00863CDA"/>
    <w:rsid w:val="0086470D"/>
    <w:rsid w:val="008648BF"/>
    <w:rsid w:val="00867374"/>
    <w:rsid w:val="00867A33"/>
    <w:rsid w:val="00870EC0"/>
    <w:rsid w:val="008715C9"/>
    <w:rsid w:val="008721D2"/>
    <w:rsid w:val="00873ADD"/>
    <w:rsid w:val="00873CF9"/>
    <w:rsid w:val="00874924"/>
    <w:rsid w:val="00875044"/>
    <w:rsid w:val="00876BEB"/>
    <w:rsid w:val="0087751B"/>
    <w:rsid w:val="008775BC"/>
    <w:rsid w:val="00877E20"/>
    <w:rsid w:val="00881199"/>
    <w:rsid w:val="008812C6"/>
    <w:rsid w:val="00882566"/>
    <w:rsid w:val="00883202"/>
    <w:rsid w:val="008844F8"/>
    <w:rsid w:val="00887831"/>
    <w:rsid w:val="00887B38"/>
    <w:rsid w:val="00891E04"/>
    <w:rsid w:val="00891FD5"/>
    <w:rsid w:val="00892568"/>
    <w:rsid w:val="00893774"/>
    <w:rsid w:val="008939CD"/>
    <w:rsid w:val="00893B55"/>
    <w:rsid w:val="008952B1"/>
    <w:rsid w:val="00896F70"/>
    <w:rsid w:val="00897A3D"/>
    <w:rsid w:val="00897C34"/>
    <w:rsid w:val="00897CCF"/>
    <w:rsid w:val="008A089D"/>
    <w:rsid w:val="008A1251"/>
    <w:rsid w:val="008A20FB"/>
    <w:rsid w:val="008A2AC2"/>
    <w:rsid w:val="008A2B0C"/>
    <w:rsid w:val="008A300F"/>
    <w:rsid w:val="008A3929"/>
    <w:rsid w:val="008A4795"/>
    <w:rsid w:val="008A6CE4"/>
    <w:rsid w:val="008A76B1"/>
    <w:rsid w:val="008A7ACE"/>
    <w:rsid w:val="008A7E22"/>
    <w:rsid w:val="008B0306"/>
    <w:rsid w:val="008B030C"/>
    <w:rsid w:val="008B035D"/>
    <w:rsid w:val="008B264F"/>
    <w:rsid w:val="008B3B75"/>
    <w:rsid w:val="008B40CF"/>
    <w:rsid w:val="008B55E8"/>
    <w:rsid w:val="008B6485"/>
    <w:rsid w:val="008B685C"/>
    <w:rsid w:val="008B6F57"/>
    <w:rsid w:val="008B74DE"/>
    <w:rsid w:val="008B7527"/>
    <w:rsid w:val="008C0912"/>
    <w:rsid w:val="008C2AB9"/>
    <w:rsid w:val="008C2DED"/>
    <w:rsid w:val="008C33E1"/>
    <w:rsid w:val="008C33EF"/>
    <w:rsid w:val="008C3657"/>
    <w:rsid w:val="008C5373"/>
    <w:rsid w:val="008C586F"/>
    <w:rsid w:val="008C73EC"/>
    <w:rsid w:val="008D17B1"/>
    <w:rsid w:val="008D1DD2"/>
    <w:rsid w:val="008D25FC"/>
    <w:rsid w:val="008D32F2"/>
    <w:rsid w:val="008D3E97"/>
    <w:rsid w:val="008D428F"/>
    <w:rsid w:val="008D5747"/>
    <w:rsid w:val="008D587C"/>
    <w:rsid w:val="008D623D"/>
    <w:rsid w:val="008D7B8F"/>
    <w:rsid w:val="008E0F35"/>
    <w:rsid w:val="008E210A"/>
    <w:rsid w:val="008E332C"/>
    <w:rsid w:val="008E679F"/>
    <w:rsid w:val="008E736C"/>
    <w:rsid w:val="008E7810"/>
    <w:rsid w:val="008F2646"/>
    <w:rsid w:val="008F375C"/>
    <w:rsid w:val="008F3D21"/>
    <w:rsid w:val="008F3DEC"/>
    <w:rsid w:val="008F3FD3"/>
    <w:rsid w:val="008F4B58"/>
    <w:rsid w:val="008F52A9"/>
    <w:rsid w:val="008F6074"/>
    <w:rsid w:val="008F634A"/>
    <w:rsid w:val="00900098"/>
    <w:rsid w:val="009006D2"/>
    <w:rsid w:val="009014FA"/>
    <w:rsid w:val="00901D2F"/>
    <w:rsid w:val="00902273"/>
    <w:rsid w:val="00902350"/>
    <w:rsid w:val="00902B3A"/>
    <w:rsid w:val="0090308F"/>
    <w:rsid w:val="009047A4"/>
    <w:rsid w:val="00906B77"/>
    <w:rsid w:val="0090769E"/>
    <w:rsid w:val="00907777"/>
    <w:rsid w:val="00907CFB"/>
    <w:rsid w:val="0091004F"/>
    <w:rsid w:val="0091015B"/>
    <w:rsid w:val="009112B6"/>
    <w:rsid w:val="009126FB"/>
    <w:rsid w:val="00912AE9"/>
    <w:rsid w:val="00912EE6"/>
    <w:rsid w:val="0091369D"/>
    <w:rsid w:val="00913A55"/>
    <w:rsid w:val="00914118"/>
    <w:rsid w:val="00914919"/>
    <w:rsid w:val="00917344"/>
    <w:rsid w:val="00917816"/>
    <w:rsid w:val="009207A0"/>
    <w:rsid w:val="00920BEC"/>
    <w:rsid w:val="0092116F"/>
    <w:rsid w:val="00921426"/>
    <w:rsid w:val="00921483"/>
    <w:rsid w:val="0092191A"/>
    <w:rsid w:val="009219E5"/>
    <w:rsid w:val="00921A25"/>
    <w:rsid w:val="00922DD7"/>
    <w:rsid w:val="009245FE"/>
    <w:rsid w:val="00925084"/>
    <w:rsid w:val="00925E94"/>
    <w:rsid w:val="009275AB"/>
    <w:rsid w:val="009305E4"/>
    <w:rsid w:val="00930787"/>
    <w:rsid w:val="00930820"/>
    <w:rsid w:val="009310E9"/>
    <w:rsid w:val="0093163E"/>
    <w:rsid w:val="009324AD"/>
    <w:rsid w:val="009325CF"/>
    <w:rsid w:val="00933140"/>
    <w:rsid w:val="00933917"/>
    <w:rsid w:val="00933B18"/>
    <w:rsid w:val="00933C38"/>
    <w:rsid w:val="009344C9"/>
    <w:rsid w:val="00935A70"/>
    <w:rsid w:val="00936A73"/>
    <w:rsid w:val="00936FFA"/>
    <w:rsid w:val="0093725A"/>
    <w:rsid w:val="009406E3"/>
    <w:rsid w:val="00940762"/>
    <w:rsid w:val="009414BA"/>
    <w:rsid w:val="00942A04"/>
    <w:rsid w:val="00942AF1"/>
    <w:rsid w:val="009441F2"/>
    <w:rsid w:val="00944DE5"/>
    <w:rsid w:val="009458E1"/>
    <w:rsid w:val="00945F7A"/>
    <w:rsid w:val="0094644E"/>
    <w:rsid w:val="00946675"/>
    <w:rsid w:val="00946E32"/>
    <w:rsid w:val="009503E9"/>
    <w:rsid w:val="00950B87"/>
    <w:rsid w:val="009523B6"/>
    <w:rsid w:val="0095296E"/>
    <w:rsid w:val="00954B9E"/>
    <w:rsid w:val="00954E5A"/>
    <w:rsid w:val="009555B4"/>
    <w:rsid w:val="00955AC4"/>
    <w:rsid w:val="009606C0"/>
    <w:rsid w:val="00960E58"/>
    <w:rsid w:val="00961359"/>
    <w:rsid w:val="0096237B"/>
    <w:rsid w:val="00962C30"/>
    <w:rsid w:val="00964A4E"/>
    <w:rsid w:val="00967D15"/>
    <w:rsid w:val="00967EDC"/>
    <w:rsid w:val="0097006D"/>
    <w:rsid w:val="009731C2"/>
    <w:rsid w:val="009734B1"/>
    <w:rsid w:val="00974350"/>
    <w:rsid w:val="0097456E"/>
    <w:rsid w:val="009756D2"/>
    <w:rsid w:val="009756E3"/>
    <w:rsid w:val="00975DC3"/>
    <w:rsid w:val="00976310"/>
    <w:rsid w:val="0097636F"/>
    <w:rsid w:val="009771D5"/>
    <w:rsid w:val="0097754B"/>
    <w:rsid w:val="009778F2"/>
    <w:rsid w:val="00977F77"/>
    <w:rsid w:val="00980D1B"/>
    <w:rsid w:val="00982641"/>
    <w:rsid w:val="0098365A"/>
    <w:rsid w:val="009838EA"/>
    <w:rsid w:val="00983EF3"/>
    <w:rsid w:val="00984FA8"/>
    <w:rsid w:val="009857F7"/>
    <w:rsid w:val="00985E78"/>
    <w:rsid w:val="0098719F"/>
    <w:rsid w:val="00987259"/>
    <w:rsid w:val="009877E9"/>
    <w:rsid w:val="00987A11"/>
    <w:rsid w:val="009906B7"/>
    <w:rsid w:val="00990BC7"/>
    <w:rsid w:val="00990D01"/>
    <w:rsid w:val="00991091"/>
    <w:rsid w:val="009911E3"/>
    <w:rsid w:val="00991D06"/>
    <w:rsid w:val="0099482C"/>
    <w:rsid w:val="00994BF9"/>
    <w:rsid w:val="00994FDF"/>
    <w:rsid w:val="009A2470"/>
    <w:rsid w:val="009A3422"/>
    <w:rsid w:val="009A364D"/>
    <w:rsid w:val="009A3756"/>
    <w:rsid w:val="009A3DEB"/>
    <w:rsid w:val="009A46BE"/>
    <w:rsid w:val="009A473A"/>
    <w:rsid w:val="009A4B61"/>
    <w:rsid w:val="009A51F8"/>
    <w:rsid w:val="009A5422"/>
    <w:rsid w:val="009A5BD5"/>
    <w:rsid w:val="009A6B0E"/>
    <w:rsid w:val="009A6B86"/>
    <w:rsid w:val="009A75D9"/>
    <w:rsid w:val="009B0AA0"/>
    <w:rsid w:val="009B14B9"/>
    <w:rsid w:val="009B1970"/>
    <w:rsid w:val="009B26F9"/>
    <w:rsid w:val="009B3AF5"/>
    <w:rsid w:val="009B3D8A"/>
    <w:rsid w:val="009B438F"/>
    <w:rsid w:val="009B467C"/>
    <w:rsid w:val="009B59DB"/>
    <w:rsid w:val="009B5E8C"/>
    <w:rsid w:val="009B691D"/>
    <w:rsid w:val="009B724A"/>
    <w:rsid w:val="009B7D9F"/>
    <w:rsid w:val="009C0519"/>
    <w:rsid w:val="009C1396"/>
    <w:rsid w:val="009C13AE"/>
    <w:rsid w:val="009C1CF6"/>
    <w:rsid w:val="009C23F7"/>
    <w:rsid w:val="009C25CD"/>
    <w:rsid w:val="009C288E"/>
    <w:rsid w:val="009C3CA8"/>
    <w:rsid w:val="009C3DA2"/>
    <w:rsid w:val="009C545D"/>
    <w:rsid w:val="009C5E4B"/>
    <w:rsid w:val="009C752B"/>
    <w:rsid w:val="009C7DC2"/>
    <w:rsid w:val="009C7F22"/>
    <w:rsid w:val="009D12F4"/>
    <w:rsid w:val="009D1D89"/>
    <w:rsid w:val="009D242B"/>
    <w:rsid w:val="009D244E"/>
    <w:rsid w:val="009D2CAB"/>
    <w:rsid w:val="009D33CA"/>
    <w:rsid w:val="009D3BDC"/>
    <w:rsid w:val="009D4009"/>
    <w:rsid w:val="009D486A"/>
    <w:rsid w:val="009D52B5"/>
    <w:rsid w:val="009D54E2"/>
    <w:rsid w:val="009D676D"/>
    <w:rsid w:val="009D7162"/>
    <w:rsid w:val="009D799D"/>
    <w:rsid w:val="009E0340"/>
    <w:rsid w:val="009E0801"/>
    <w:rsid w:val="009E0A21"/>
    <w:rsid w:val="009E0B10"/>
    <w:rsid w:val="009E207C"/>
    <w:rsid w:val="009E2B1B"/>
    <w:rsid w:val="009E3B8A"/>
    <w:rsid w:val="009E43CC"/>
    <w:rsid w:val="009E47FD"/>
    <w:rsid w:val="009E4807"/>
    <w:rsid w:val="009E4903"/>
    <w:rsid w:val="009E62AF"/>
    <w:rsid w:val="009E6620"/>
    <w:rsid w:val="009E7B7B"/>
    <w:rsid w:val="009F0034"/>
    <w:rsid w:val="009F21B1"/>
    <w:rsid w:val="009F2AFD"/>
    <w:rsid w:val="009F4388"/>
    <w:rsid w:val="009F482D"/>
    <w:rsid w:val="009F4EF0"/>
    <w:rsid w:val="009F668D"/>
    <w:rsid w:val="009F79BF"/>
    <w:rsid w:val="009F7B9B"/>
    <w:rsid w:val="009F7F49"/>
    <w:rsid w:val="00A00721"/>
    <w:rsid w:val="00A01A4B"/>
    <w:rsid w:val="00A01B7F"/>
    <w:rsid w:val="00A0240D"/>
    <w:rsid w:val="00A02A46"/>
    <w:rsid w:val="00A02CFA"/>
    <w:rsid w:val="00A04590"/>
    <w:rsid w:val="00A0462F"/>
    <w:rsid w:val="00A04C0D"/>
    <w:rsid w:val="00A059AA"/>
    <w:rsid w:val="00A10305"/>
    <w:rsid w:val="00A10985"/>
    <w:rsid w:val="00A113DB"/>
    <w:rsid w:val="00A11D6B"/>
    <w:rsid w:val="00A1225B"/>
    <w:rsid w:val="00A122AB"/>
    <w:rsid w:val="00A12516"/>
    <w:rsid w:val="00A1371D"/>
    <w:rsid w:val="00A13DB9"/>
    <w:rsid w:val="00A14663"/>
    <w:rsid w:val="00A161F5"/>
    <w:rsid w:val="00A17660"/>
    <w:rsid w:val="00A17F89"/>
    <w:rsid w:val="00A20524"/>
    <w:rsid w:val="00A20E6E"/>
    <w:rsid w:val="00A2170E"/>
    <w:rsid w:val="00A22983"/>
    <w:rsid w:val="00A23D33"/>
    <w:rsid w:val="00A24FBB"/>
    <w:rsid w:val="00A252A1"/>
    <w:rsid w:val="00A25FF7"/>
    <w:rsid w:val="00A270A1"/>
    <w:rsid w:val="00A30666"/>
    <w:rsid w:val="00A30DDC"/>
    <w:rsid w:val="00A30EA4"/>
    <w:rsid w:val="00A30FDD"/>
    <w:rsid w:val="00A31232"/>
    <w:rsid w:val="00A32398"/>
    <w:rsid w:val="00A324FC"/>
    <w:rsid w:val="00A32D32"/>
    <w:rsid w:val="00A335B8"/>
    <w:rsid w:val="00A3375E"/>
    <w:rsid w:val="00A34129"/>
    <w:rsid w:val="00A34D50"/>
    <w:rsid w:val="00A35281"/>
    <w:rsid w:val="00A356AA"/>
    <w:rsid w:val="00A36C3A"/>
    <w:rsid w:val="00A376DC"/>
    <w:rsid w:val="00A377A5"/>
    <w:rsid w:val="00A378DF"/>
    <w:rsid w:val="00A40F89"/>
    <w:rsid w:val="00A42017"/>
    <w:rsid w:val="00A420D2"/>
    <w:rsid w:val="00A42ADC"/>
    <w:rsid w:val="00A4380A"/>
    <w:rsid w:val="00A439A6"/>
    <w:rsid w:val="00A43AD1"/>
    <w:rsid w:val="00A44090"/>
    <w:rsid w:val="00A446D6"/>
    <w:rsid w:val="00A452AF"/>
    <w:rsid w:val="00A457AC"/>
    <w:rsid w:val="00A4617B"/>
    <w:rsid w:val="00A47A69"/>
    <w:rsid w:val="00A47E18"/>
    <w:rsid w:val="00A50393"/>
    <w:rsid w:val="00A52088"/>
    <w:rsid w:val="00A530E0"/>
    <w:rsid w:val="00A538E2"/>
    <w:rsid w:val="00A5392D"/>
    <w:rsid w:val="00A55A89"/>
    <w:rsid w:val="00A572CE"/>
    <w:rsid w:val="00A6002C"/>
    <w:rsid w:val="00A60CF9"/>
    <w:rsid w:val="00A61EB7"/>
    <w:rsid w:val="00A63A5A"/>
    <w:rsid w:val="00A66120"/>
    <w:rsid w:val="00A66230"/>
    <w:rsid w:val="00A665C5"/>
    <w:rsid w:val="00A6696F"/>
    <w:rsid w:val="00A70883"/>
    <w:rsid w:val="00A70C5B"/>
    <w:rsid w:val="00A71143"/>
    <w:rsid w:val="00A724A9"/>
    <w:rsid w:val="00A730C8"/>
    <w:rsid w:val="00A73357"/>
    <w:rsid w:val="00A747EA"/>
    <w:rsid w:val="00A74CF7"/>
    <w:rsid w:val="00A75369"/>
    <w:rsid w:val="00A779C6"/>
    <w:rsid w:val="00A80ADF"/>
    <w:rsid w:val="00A813F0"/>
    <w:rsid w:val="00A8358D"/>
    <w:rsid w:val="00A835FD"/>
    <w:rsid w:val="00A84F9A"/>
    <w:rsid w:val="00A8504B"/>
    <w:rsid w:val="00A856B0"/>
    <w:rsid w:val="00A8586D"/>
    <w:rsid w:val="00A8744F"/>
    <w:rsid w:val="00A91B45"/>
    <w:rsid w:val="00A923B7"/>
    <w:rsid w:val="00A9285A"/>
    <w:rsid w:val="00A92B37"/>
    <w:rsid w:val="00A94C7C"/>
    <w:rsid w:val="00A95639"/>
    <w:rsid w:val="00A95C2D"/>
    <w:rsid w:val="00AA02E2"/>
    <w:rsid w:val="00AA0CAD"/>
    <w:rsid w:val="00AA1F48"/>
    <w:rsid w:val="00AA20AC"/>
    <w:rsid w:val="00AA322D"/>
    <w:rsid w:val="00AA4AA9"/>
    <w:rsid w:val="00AB067E"/>
    <w:rsid w:val="00AB08AC"/>
    <w:rsid w:val="00AB0B73"/>
    <w:rsid w:val="00AB1222"/>
    <w:rsid w:val="00AB14A4"/>
    <w:rsid w:val="00AB1877"/>
    <w:rsid w:val="00AB331D"/>
    <w:rsid w:val="00AB3445"/>
    <w:rsid w:val="00AB3B07"/>
    <w:rsid w:val="00AB3B54"/>
    <w:rsid w:val="00AB4A7A"/>
    <w:rsid w:val="00AB4DAE"/>
    <w:rsid w:val="00AB4E55"/>
    <w:rsid w:val="00AB5B52"/>
    <w:rsid w:val="00AB6D4F"/>
    <w:rsid w:val="00AB7067"/>
    <w:rsid w:val="00AB7B05"/>
    <w:rsid w:val="00AB7BD5"/>
    <w:rsid w:val="00AC0F3D"/>
    <w:rsid w:val="00AC30BF"/>
    <w:rsid w:val="00AC3A97"/>
    <w:rsid w:val="00AC4402"/>
    <w:rsid w:val="00AC5216"/>
    <w:rsid w:val="00AC5B43"/>
    <w:rsid w:val="00AC7016"/>
    <w:rsid w:val="00AD3804"/>
    <w:rsid w:val="00AD3A9A"/>
    <w:rsid w:val="00AD4B4D"/>
    <w:rsid w:val="00AD4DA1"/>
    <w:rsid w:val="00AD4FCB"/>
    <w:rsid w:val="00AD55C7"/>
    <w:rsid w:val="00AD5D86"/>
    <w:rsid w:val="00AD6013"/>
    <w:rsid w:val="00AD621F"/>
    <w:rsid w:val="00AD6B4C"/>
    <w:rsid w:val="00AD6C4E"/>
    <w:rsid w:val="00AD6D99"/>
    <w:rsid w:val="00AE02C2"/>
    <w:rsid w:val="00AE2F56"/>
    <w:rsid w:val="00AE3B8B"/>
    <w:rsid w:val="00AE4371"/>
    <w:rsid w:val="00AE4BAD"/>
    <w:rsid w:val="00AE545B"/>
    <w:rsid w:val="00AE5D8F"/>
    <w:rsid w:val="00AE6581"/>
    <w:rsid w:val="00AF1B1B"/>
    <w:rsid w:val="00AF1E1B"/>
    <w:rsid w:val="00AF230D"/>
    <w:rsid w:val="00AF30CC"/>
    <w:rsid w:val="00AF3625"/>
    <w:rsid w:val="00AF3909"/>
    <w:rsid w:val="00AF414B"/>
    <w:rsid w:val="00AF4EDC"/>
    <w:rsid w:val="00AF5567"/>
    <w:rsid w:val="00AF5ACF"/>
    <w:rsid w:val="00AF5BD1"/>
    <w:rsid w:val="00B00031"/>
    <w:rsid w:val="00B03459"/>
    <w:rsid w:val="00B03BE6"/>
    <w:rsid w:val="00B042C3"/>
    <w:rsid w:val="00B043AD"/>
    <w:rsid w:val="00B05820"/>
    <w:rsid w:val="00B07B5B"/>
    <w:rsid w:val="00B07DCA"/>
    <w:rsid w:val="00B12D27"/>
    <w:rsid w:val="00B13422"/>
    <w:rsid w:val="00B13D70"/>
    <w:rsid w:val="00B148E7"/>
    <w:rsid w:val="00B16729"/>
    <w:rsid w:val="00B1737A"/>
    <w:rsid w:val="00B17E0D"/>
    <w:rsid w:val="00B200B5"/>
    <w:rsid w:val="00B200CD"/>
    <w:rsid w:val="00B20FDA"/>
    <w:rsid w:val="00B22ADE"/>
    <w:rsid w:val="00B23466"/>
    <w:rsid w:val="00B23967"/>
    <w:rsid w:val="00B23A18"/>
    <w:rsid w:val="00B23C86"/>
    <w:rsid w:val="00B23CE5"/>
    <w:rsid w:val="00B257E0"/>
    <w:rsid w:val="00B279C9"/>
    <w:rsid w:val="00B3031F"/>
    <w:rsid w:val="00B30531"/>
    <w:rsid w:val="00B318D1"/>
    <w:rsid w:val="00B33D20"/>
    <w:rsid w:val="00B34371"/>
    <w:rsid w:val="00B34491"/>
    <w:rsid w:val="00B3506E"/>
    <w:rsid w:val="00B3669F"/>
    <w:rsid w:val="00B36BB8"/>
    <w:rsid w:val="00B36CDF"/>
    <w:rsid w:val="00B37211"/>
    <w:rsid w:val="00B37295"/>
    <w:rsid w:val="00B373B4"/>
    <w:rsid w:val="00B37867"/>
    <w:rsid w:val="00B4028E"/>
    <w:rsid w:val="00B40354"/>
    <w:rsid w:val="00B40E8B"/>
    <w:rsid w:val="00B41A86"/>
    <w:rsid w:val="00B422F6"/>
    <w:rsid w:val="00B4295A"/>
    <w:rsid w:val="00B42AA4"/>
    <w:rsid w:val="00B42E05"/>
    <w:rsid w:val="00B43553"/>
    <w:rsid w:val="00B44416"/>
    <w:rsid w:val="00B448CD"/>
    <w:rsid w:val="00B44FC5"/>
    <w:rsid w:val="00B453B0"/>
    <w:rsid w:val="00B4657B"/>
    <w:rsid w:val="00B50C76"/>
    <w:rsid w:val="00B515DC"/>
    <w:rsid w:val="00B52FCD"/>
    <w:rsid w:val="00B5303F"/>
    <w:rsid w:val="00B5305C"/>
    <w:rsid w:val="00B533FC"/>
    <w:rsid w:val="00B54C8C"/>
    <w:rsid w:val="00B55AEC"/>
    <w:rsid w:val="00B562F3"/>
    <w:rsid w:val="00B5682C"/>
    <w:rsid w:val="00B56991"/>
    <w:rsid w:val="00B56F26"/>
    <w:rsid w:val="00B61A64"/>
    <w:rsid w:val="00B6274F"/>
    <w:rsid w:val="00B67104"/>
    <w:rsid w:val="00B73A89"/>
    <w:rsid w:val="00B7428A"/>
    <w:rsid w:val="00B74879"/>
    <w:rsid w:val="00B76F60"/>
    <w:rsid w:val="00B80496"/>
    <w:rsid w:val="00B81A64"/>
    <w:rsid w:val="00B81D94"/>
    <w:rsid w:val="00B8203A"/>
    <w:rsid w:val="00B83F49"/>
    <w:rsid w:val="00B8579A"/>
    <w:rsid w:val="00B861C5"/>
    <w:rsid w:val="00B86D4B"/>
    <w:rsid w:val="00B874BD"/>
    <w:rsid w:val="00B8799E"/>
    <w:rsid w:val="00B911D2"/>
    <w:rsid w:val="00B9142A"/>
    <w:rsid w:val="00B914B1"/>
    <w:rsid w:val="00B92220"/>
    <w:rsid w:val="00B9394A"/>
    <w:rsid w:val="00B94FEC"/>
    <w:rsid w:val="00B952B3"/>
    <w:rsid w:val="00B958F0"/>
    <w:rsid w:val="00B9662D"/>
    <w:rsid w:val="00BA0F6B"/>
    <w:rsid w:val="00BA1440"/>
    <w:rsid w:val="00BA15F5"/>
    <w:rsid w:val="00BA3CC3"/>
    <w:rsid w:val="00BA3CD6"/>
    <w:rsid w:val="00BA4332"/>
    <w:rsid w:val="00BA5B8B"/>
    <w:rsid w:val="00BA61ED"/>
    <w:rsid w:val="00BA73ED"/>
    <w:rsid w:val="00BB045A"/>
    <w:rsid w:val="00BB4A7F"/>
    <w:rsid w:val="00BB5167"/>
    <w:rsid w:val="00BB55C5"/>
    <w:rsid w:val="00BB7835"/>
    <w:rsid w:val="00BB7B5E"/>
    <w:rsid w:val="00BC0375"/>
    <w:rsid w:val="00BC2BD3"/>
    <w:rsid w:val="00BC4053"/>
    <w:rsid w:val="00BC4A12"/>
    <w:rsid w:val="00BC4D50"/>
    <w:rsid w:val="00BC6132"/>
    <w:rsid w:val="00BC7E1E"/>
    <w:rsid w:val="00BD0B12"/>
    <w:rsid w:val="00BD1480"/>
    <w:rsid w:val="00BD1908"/>
    <w:rsid w:val="00BD4A4A"/>
    <w:rsid w:val="00BD4D08"/>
    <w:rsid w:val="00BD5665"/>
    <w:rsid w:val="00BD69E6"/>
    <w:rsid w:val="00BD6A57"/>
    <w:rsid w:val="00BD6D3F"/>
    <w:rsid w:val="00BE0DA8"/>
    <w:rsid w:val="00BE1AE3"/>
    <w:rsid w:val="00BE250C"/>
    <w:rsid w:val="00BE2546"/>
    <w:rsid w:val="00BE2A9C"/>
    <w:rsid w:val="00BE2CA4"/>
    <w:rsid w:val="00BE30D8"/>
    <w:rsid w:val="00BE3DF2"/>
    <w:rsid w:val="00BE4607"/>
    <w:rsid w:val="00BE47DE"/>
    <w:rsid w:val="00BE4C28"/>
    <w:rsid w:val="00BE4C65"/>
    <w:rsid w:val="00BE50F3"/>
    <w:rsid w:val="00BE702F"/>
    <w:rsid w:val="00BE72BD"/>
    <w:rsid w:val="00BE77B0"/>
    <w:rsid w:val="00BE7E57"/>
    <w:rsid w:val="00BF0A5D"/>
    <w:rsid w:val="00BF0EEB"/>
    <w:rsid w:val="00BF12B5"/>
    <w:rsid w:val="00BF1E97"/>
    <w:rsid w:val="00BF5930"/>
    <w:rsid w:val="00BF6A3E"/>
    <w:rsid w:val="00C00EB8"/>
    <w:rsid w:val="00C03E9F"/>
    <w:rsid w:val="00C04659"/>
    <w:rsid w:val="00C06238"/>
    <w:rsid w:val="00C062BA"/>
    <w:rsid w:val="00C071DA"/>
    <w:rsid w:val="00C072C9"/>
    <w:rsid w:val="00C105D7"/>
    <w:rsid w:val="00C1094B"/>
    <w:rsid w:val="00C12004"/>
    <w:rsid w:val="00C12A22"/>
    <w:rsid w:val="00C148C6"/>
    <w:rsid w:val="00C14B4A"/>
    <w:rsid w:val="00C14D94"/>
    <w:rsid w:val="00C155E0"/>
    <w:rsid w:val="00C207BF"/>
    <w:rsid w:val="00C20BC5"/>
    <w:rsid w:val="00C21041"/>
    <w:rsid w:val="00C212BF"/>
    <w:rsid w:val="00C2133E"/>
    <w:rsid w:val="00C21756"/>
    <w:rsid w:val="00C222D2"/>
    <w:rsid w:val="00C235F9"/>
    <w:rsid w:val="00C23A38"/>
    <w:rsid w:val="00C25031"/>
    <w:rsid w:val="00C25153"/>
    <w:rsid w:val="00C25EF8"/>
    <w:rsid w:val="00C262FB"/>
    <w:rsid w:val="00C274F0"/>
    <w:rsid w:val="00C32753"/>
    <w:rsid w:val="00C334E3"/>
    <w:rsid w:val="00C33DA8"/>
    <w:rsid w:val="00C34EEF"/>
    <w:rsid w:val="00C35D08"/>
    <w:rsid w:val="00C4060D"/>
    <w:rsid w:val="00C406FC"/>
    <w:rsid w:val="00C41357"/>
    <w:rsid w:val="00C41842"/>
    <w:rsid w:val="00C41D7D"/>
    <w:rsid w:val="00C41EE3"/>
    <w:rsid w:val="00C436B4"/>
    <w:rsid w:val="00C45318"/>
    <w:rsid w:val="00C454E9"/>
    <w:rsid w:val="00C45C16"/>
    <w:rsid w:val="00C45E63"/>
    <w:rsid w:val="00C45E97"/>
    <w:rsid w:val="00C46DA2"/>
    <w:rsid w:val="00C476B3"/>
    <w:rsid w:val="00C50543"/>
    <w:rsid w:val="00C541C4"/>
    <w:rsid w:val="00C54483"/>
    <w:rsid w:val="00C55464"/>
    <w:rsid w:val="00C55644"/>
    <w:rsid w:val="00C56085"/>
    <w:rsid w:val="00C56525"/>
    <w:rsid w:val="00C56CFD"/>
    <w:rsid w:val="00C57091"/>
    <w:rsid w:val="00C57574"/>
    <w:rsid w:val="00C57BA8"/>
    <w:rsid w:val="00C57ED6"/>
    <w:rsid w:val="00C57F35"/>
    <w:rsid w:val="00C60BAC"/>
    <w:rsid w:val="00C60C5F"/>
    <w:rsid w:val="00C610ED"/>
    <w:rsid w:val="00C611DE"/>
    <w:rsid w:val="00C61212"/>
    <w:rsid w:val="00C6158C"/>
    <w:rsid w:val="00C61D83"/>
    <w:rsid w:val="00C6391D"/>
    <w:rsid w:val="00C63F32"/>
    <w:rsid w:val="00C64AAF"/>
    <w:rsid w:val="00C64F03"/>
    <w:rsid w:val="00C655A5"/>
    <w:rsid w:val="00C65649"/>
    <w:rsid w:val="00C66739"/>
    <w:rsid w:val="00C668F2"/>
    <w:rsid w:val="00C6739E"/>
    <w:rsid w:val="00C70392"/>
    <w:rsid w:val="00C718C1"/>
    <w:rsid w:val="00C71B3B"/>
    <w:rsid w:val="00C72A95"/>
    <w:rsid w:val="00C72E39"/>
    <w:rsid w:val="00C76BC5"/>
    <w:rsid w:val="00C76CE9"/>
    <w:rsid w:val="00C76F00"/>
    <w:rsid w:val="00C77A4C"/>
    <w:rsid w:val="00C81074"/>
    <w:rsid w:val="00C8111B"/>
    <w:rsid w:val="00C8343F"/>
    <w:rsid w:val="00C837B1"/>
    <w:rsid w:val="00C859FD"/>
    <w:rsid w:val="00C85A78"/>
    <w:rsid w:val="00C87938"/>
    <w:rsid w:val="00C87CC8"/>
    <w:rsid w:val="00C87EC0"/>
    <w:rsid w:val="00C908B6"/>
    <w:rsid w:val="00C91C12"/>
    <w:rsid w:val="00C925CB"/>
    <w:rsid w:val="00C92734"/>
    <w:rsid w:val="00C92797"/>
    <w:rsid w:val="00C937DC"/>
    <w:rsid w:val="00C94B99"/>
    <w:rsid w:val="00C96C93"/>
    <w:rsid w:val="00C96DFB"/>
    <w:rsid w:val="00CA0785"/>
    <w:rsid w:val="00CA089C"/>
    <w:rsid w:val="00CA1DA8"/>
    <w:rsid w:val="00CA29E9"/>
    <w:rsid w:val="00CA3CC6"/>
    <w:rsid w:val="00CA5330"/>
    <w:rsid w:val="00CA59CC"/>
    <w:rsid w:val="00CA5A08"/>
    <w:rsid w:val="00CA69D0"/>
    <w:rsid w:val="00CA7156"/>
    <w:rsid w:val="00CB0DC9"/>
    <w:rsid w:val="00CB1233"/>
    <w:rsid w:val="00CB227F"/>
    <w:rsid w:val="00CB2E75"/>
    <w:rsid w:val="00CB4010"/>
    <w:rsid w:val="00CB43AA"/>
    <w:rsid w:val="00CB4DDA"/>
    <w:rsid w:val="00CB4E37"/>
    <w:rsid w:val="00CB5C98"/>
    <w:rsid w:val="00CB7310"/>
    <w:rsid w:val="00CC04BC"/>
    <w:rsid w:val="00CC1620"/>
    <w:rsid w:val="00CC1761"/>
    <w:rsid w:val="00CC1990"/>
    <w:rsid w:val="00CC1B17"/>
    <w:rsid w:val="00CC1D1D"/>
    <w:rsid w:val="00CC2598"/>
    <w:rsid w:val="00CC3294"/>
    <w:rsid w:val="00CC3A96"/>
    <w:rsid w:val="00CC3DF3"/>
    <w:rsid w:val="00CC40AF"/>
    <w:rsid w:val="00CC47F5"/>
    <w:rsid w:val="00CC5AB1"/>
    <w:rsid w:val="00CC7299"/>
    <w:rsid w:val="00CC7CF6"/>
    <w:rsid w:val="00CD1C88"/>
    <w:rsid w:val="00CD22F5"/>
    <w:rsid w:val="00CD2695"/>
    <w:rsid w:val="00CD2C13"/>
    <w:rsid w:val="00CD37AD"/>
    <w:rsid w:val="00CD3BA0"/>
    <w:rsid w:val="00CD42E5"/>
    <w:rsid w:val="00CD45C6"/>
    <w:rsid w:val="00CD45F3"/>
    <w:rsid w:val="00CD5CB1"/>
    <w:rsid w:val="00CD5D83"/>
    <w:rsid w:val="00CE1594"/>
    <w:rsid w:val="00CE38FB"/>
    <w:rsid w:val="00CE49A1"/>
    <w:rsid w:val="00CE56EE"/>
    <w:rsid w:val="00CE6496"/>
    <w:rsid w:val="00CE6791"/>
    <w:rsid w:val="00CE695C"/>
    <w:rsid w:val="00CE7780"/>
    <w:rsid w:val="00CE7BBC"/>
    <w:rsid w:val="00CF0B33"/>
    <w:rsid w:val="00CF139B"/>
    <w:rsid w:val="00CF2AAA"/>
    <w:rsid w:val="00CF2BBB"/>
    <w:rsid w:val="00CF2C45"/>
    <w:rsid w:val="00CF3067"/>
    <w:rsid w:val="00CF48BF"/>
    <w:rsid w:val="00CF5646"/>
    <w:rsid w:val="00CF69DD"/>
    <w:rsid w:val="00CF7EA0"/>
    <w:rsid w:val="00D01246"/>
    <w:rsid w:val="00D01776"/>
    <w:rsid w:val="00D01839"/>
    <w:rsid w:val="00D0197D"/>
    <w:rsid w:val="00D0237F"/>
    <w:rsid w:val="00D028AD"/>
    <w:rsid w:val="00D02D6D"/>
    <w:rsid w:val="00D02DF2"/>
    <w:rsid w:val="00D03F75"/>
    <w:rsid w:val="00D04502"/>
    <w:rsid w:val="00D0570A"/>
    <w:rsid w:val="00D05862"/>
    <w:rsid w:val="00D05C9A"/>
    <w:rsid w:val="00D05D45"/>
    <w:rsid w:val="00D122A6"/>
    <w:rsid w:val="00D14092"/>
    <w:rsid w:val="00D145C6"/>
    <w:rsid w:val="00D14EFF"/>
    <w:rsid w:val="00D151D8"/>
    <w:rsid w:val="00D15AEA"/>
    <w:rsid w:val="00D174F7"/>
    <w:rsid w:val="00D17A8D"/>
    <w:rsid w:val="00D20C77"/>
    <w:rsid w:val="00D210B9"/>
    <w:rsid w:val="00D21C45"/>
    <w:rsid w:val="00D22715"/>
    <w:rsid w:val="00D22C6C"/>
    <w:rsid w:val="00D22EEE"/>
    <w:rsid w:val="00D251D4"/>
    <w:rsid w:val="00D2571D"/>
    <w:rsid w:val="00D262DD"/>
    <w:rsid w:val="00D26971"/>
    <w:rsid w:val="00D26E9A"/>
    <w:rsid w:val="00D30ED8"/>
    <w:rsid w:val="00D312C1"/>
    <w:rsid w:val="00D31743"/>
    <w:rsid w:val="00D3292F"/>
    <w:rsid w:val="00D33396"/>
    <w:rsid w:val="00D33DB5"/>
    <w:rsid w:val="00D345A1"/>
    <w:rsid w:val="00D34E86"/>
    <w:rsid w:val="00D3527E"/>
    <w:rsid w:val="00D35553"/>
    <w:rsid w:val="00D35C8B"/>
    <w:rsid w:val="00D40079"/>
    <w:rsid w:val="00D406FE"/>
    <w:rsid w:val="00D41787"/>
    <w:rsid w:val="00D442BC"/>
    <w:rsid w:val="00D45DE6"/>
    <w:rsid w:val="00D45FC9"/>
    <w:rsid w:val="00D46A61"/>
    <w:rsid w:val="00D46E8E"/>
    <w:rsid w:val="00D50085"/>
    <w:rsid w:val="00D5038B"/>
    <w:rsid w:val="00D51AB5"/>
    <w:rsid w:val="00D5219A"/>
    <w:rsid w:val="00D5505A"/>
    <w:rsid w:val="00D55FE7"/>
    <w:rsid w:val="00D566C3"/>
    <w:rsid w:val="00D5768B"/>
    <w:rsid w:val="00D57D59"/>
    <w:rsid w:val="00D60F38"/>
    <w:rsid w:val="00D63D8D"/>
    <w:rsid w:val="00D6453E"/>
    <w:rsid w:val="00D6563C"/>
    <w:rsid w:val="00D658B3"/>
    <w:rsid w:val="00D67E44"/>
    <w:rsid w:val="00D73FD9"/>
    <w:rsid w:val="00D744B4"/>
    <w:rsid w:val="00D75B5C"/>
    <w:rsid w:val="00D76634"/>
    <w:rsid w:val="00D77476"/>
    <w:rsid w:val="00D77E26"/>
    <w:rsid w:val="00D8035A"/>
    <w:rsid w:val="00D81155"/>
    <w:rsid w:val="00D81829"/>
    <w:rsid w:val="00D83555"/>
    <w:rsid w:val="00D83E78"/>
    <w:rsid w:val="00D8422F"/>
    <w:rsid w:val="00D8473D"/>
    <w:rsid w:val="00D85D6A"/>
    <w:rsid w:val="00D860E8"/>
    <w:rsid w:val="00D869E8"/>
    <w:rsid w:val="00D86C5C"/>
    <w:rsid w:val="00D86FBE"/>
    <w:rsid w:val="00D87364"/>
    <w:rsid w:val="00D87D8D"/>
    <w:rsid w:val="00D915D3"/>
    <w:rsid w:val="00D9195B"/>
    <w:rsid w:val="00D9207E"/>
    <w:rsid w:val="00D92657"/>
    <w:rsid w:val="00D92B3B"/>
    <w:rsid w:val="00D95143"/>
    <w:rsid w:val="00D96855"/>
    <w:rsid w:val="00D9695C"/>
    <w:rsid w:val="00D96BA8"/>
    <w:rsid w:val="00DA19E3"/>
    <w:rsid w:val="00DA1BEC"/>
    <w:rsid w:val="00DA3ED9"/>
    <w:rsid w:val="00DA5189"/>
    <w:rsid w:val="00DA5825"/>
    <w:rsid w:val="00DA602F"/>
    <w:rsid w:val="00DB1F52"/>
    <w:rsid w:val="00DB28F8"/>
    <w:rsid w:val="00DB3FCB"/>
    <w:rsid w:val="00DC13A1"/>
    <w:rsid w:val="00DC14FB"/>
    <w:rsid w:val="00DC278A"/>
    <w:rsid w:val="00DC31FF"/>
    <w:rsid w:val="00DC3A1F"/>
    <w:rsid w:val="00DC3EF9"/>
    <w:rsid w:val="00DC43F3"/>
    <w:rsid w:val="00DC67A9"/>
    <w:rsid w:val="00DC7754"/>
    <w:rsid w:val="00DC786D"/>
    <w:rsid w:val="00DD1999"/>
    <w:rsid w:val="00DD2826"/>
    <w:rsid w:val="00DD3028"/>
    <w:rsid w:val="00DD376A"/>
    <w:rsid w:val="00DD3BB3"/>
    <w:rsid w:val="00DD448E"/>
    <w:rsid w:val="00DD4570"/>
    <w:rsid w:val="00DD608E"/>
    <w:rsid w:val="00DD6934"/>
    <w:rsid w:val="00DD7098"/>
    <w:rsid w:val="00DE0423"/>
    <w:rsid w:val="00DE0FE5"/>
    <w:rsid w:val="00DE1594"/>
    <w:rsid w:val="00DE241B"/>
    <w:rsid w:val="00DE2444"/>
    <w:rsid w:val="00DE2B64"/>
    <w:rsid w:val="00DE3692"/>
    <w:rsid w:val="00DE39F1"/>
    <w:rsid w:val="00DE3E77"/>
    <w:rsid w:val="00DE4E84"/>
    <w:rsid w:val="00DE53FF"/>
    <w:rsid w:val="00DE60BB"/>
    <w:rsid w:val="00DE6F5F"/>
    <w:rsid w:val="00DE6FFF"/>
    <w:rsid w:val="00DF23EA"/>
    <w:rsid w:val="00DF25E2"/>
    <w:rsid w:val="00DF3791"/>
    <w:rsid w:val="00DF38EA"/>
    <w:rsid w:val="00DF3A99"/>
    <w:rsid w:val="00DF40A6"/>
    <w:rsid w:val="00DF5077"/>
    <w:rsid w:val="00DF5C22"/>
    <w:rsid w:val="00DF5E8C"/>
    <w:rsid w:val="00DF6191"/>
    <w:rsid w:val="00DF6359"/>
    <w:rsid w:val="00DF79CD"/>
    <w:rsid w:val="00E019E6"/>
    <w:rsid w:val="00E0280A"/>
    <w:rsid w:val="00E02B43"/>
    <w:rsid w:val="00E02CA5"/>
    <w:rsid w:val="00E03AB6"/>
    <w:rsid w:val="00E04A8A"/>
    <w:rsid w:val="00E04C41"/>
    <w:rsid w:val="00E05E80"/>
    <w:rsid w:val="00E061C2"/>
    <w:rsid w:val="00E06B43"/>
    <w:rsid w:val="00E06F22"/>
    <w:rsid w:val="00E108BE"/>
    <w:rsid w:val="00E11207"/>
    <w:rsid w:val="00E1185D"/>
    <w:rsid w:val="00E12A81"/>
    <w:rsid w:val="00E147ED"/>
    <w:rsid w:val="00E1487A"/>
    <w:rsid w:val="00E148F8"/>
    <w:rsid w:val="00E14C3A"/>
    <w:rsid w:val="00E15060"/>
    <w:rsid w:val="00E15643"/>
    <w:rsid w:val="00E16C53"/>
    <w:rsid w:val="00E17132"/>
    <w:rsid w:val="00E17D74"/>
    <w:rsid w:val="00E2056F"/>
    <w:rsid w:val="00E20BB5"/>
    <w:rsid w:val="00E20C7B"/>
    <w:rsid w:val="00E212B5"/>
    <w:rsid w:val="00E21F2E"/>
    <w:rsid w:val="00E2202C"/>
    <w:rsid w:val="00E2271C"/>
    <w:rsid w:val="00E22F07"/>
    <w:rsid w:val="00E23074"/>
    <w:rsid w:val="00E23A6F"/>
    <w:rsid w:val="00E2413C"/>
    <w:rsid w:val="00E24268"/>
    <w:rsid w:val="00E2476B"/>
    <w:rsid w:val="00E26A79"/>
    <w:rsid w:val="00E27347"/>
    <w:rsid w:val="00E30692"/>
    <w:rsid w:val="00E30A25"/>
    <w:rsid w:val="00E30C4F"/>
    <w:rsid w:val="00E30D0A"/>
    <w:rsid w:val="00E310B1"/>
    <w:rsid w:val="00E314B1"/>
    <w:rsid w:val="00E32480"/>
    <w:rsid w:val="00E3271E"/>
    <w:rsid w:val="00E35F89"/>
    <w:rsid w:val="00E400AA"/>
    <w:rsid w:val="00E41FA0"/>
    <w:rsid w:val="00E42326"/>
    <w:rsid w:val="00E42751"/>
    <w:rsid w:val="00E43E3B"/>
    <w:rsid w:val="00E44AE6"/>
    <w:rsid w:val="00E44CB4"/>
    <w:rsid w:val="00E44FAA"/>
    <w:rsid w:val="00E462F2"/>
    <w:rsid w:val="00E46483"/>
    <w:rsid w:val="00E47F8F"/>
    <w:rsid w:val="00E517D9"/>
    <w:rsid w:val="00E52706"/>
    <w:rsid w:val="00E52F90"/>
    <w:rsid w:val="00E551CC"/>
    <w:rsid w:val="00E57463"/>
    <w:rsid w:val="00E57E15"/>
    <w:rsid w:val="00E6025E"/>
    <w:rsid w:val="00E605B0"/>
    <w:rsid w:val="00E6098E"/>
    <w:rsid w:val="00E617F0"/>
    <w:rsid w:val="00E64AAE"/>
    <w:rsid w:val="00E651A2"/>
    <w:rsid w:val="00E65980"/>
    <w:rsid w:val="00E65A77"/>
    <w:rsid w:val="00E65EC0"/>
    <w:rsid w:val="00E672EA"/>
    <w:rsid w:val="00E67D9E"/>
    <w:rsid w:val="00E70D6C"/>
    <w:rsid w:val="00E724C7"/>
    <w:rsid w:val="00E72B8A"/>
    <w:rsid w:val="00E7559E"/>
    <w:rsid w:val="00E75764"/>
    <w:rsid w:val="00E759A5"/>
    <w:rsid w:val="00E75BFF"/>
    <w:rsid w:val="00E75F63"/>
    <w:rsid w:val="00E76EFA"/>
    <w:rsid w:val="00E77135"/>
    <w:rsid w:val="00E77230"/>
    <w:rsid w:val="00E77CE2"/>
    <w:rsid w:val="00E816EB"/>
    <w:rsid w:val="00E82DD8"/>
    <w:rsid w:val="00E86AA4"/>
    <w:rsid w:val="00E9146B"/>
    <w:rsid w:val="00E914A0"/>
    <w:rsid w:val="00E92036"/>
    <w:rsid w:val="00E9227D"/>
    <w:rsid w:val="00E95472"/>
    <w:rsid w:val="00E956AA"/>
    <w:rsid w:val="00E96430"/>
    <w:rsid w:val="00EA0005"/>
    <w:rsid w:val="00EA0475"/>
    <w:rsid w:val="00EA0871"/>
    <w:rsid w:val="00EA16E2"/>
    <w:rsid w:val="00EA2C21"/>
    <w:rsid w:val="00EA2E5B"/>
    <w:rsid w:val="00EA4585"/>
    <w:rsid w:val="00EA4743"/>
    <w:rsid w:val="00EA49F8"/>
    <w:rsid w:val="00EA4A35"/>
    <w:rsid w:val="00EA558B"/>
    <w:rsid w:val="00EA585F"/>
    <w:rsid w:val="00EA7CFE"/>
    <w:rsid w:val="00EB0F15"/>
    <w:rsid w:val="00EB25D1"/>
    <w:rsid w:val="00EB2DFB"/>
    <w:rsid w:val="00EB3BCA"/>
    <w:rsid w:val="00EB4AAA"/>
    <w:rsid w:val="00EB59E5"/>
    <w:rsid w:val="00EB691D"/>
    <w:rsid w:val="00EB6A09"/>
    <w:rsid w:val="00EB705D"/>
    <w:rsid w:val="00EB739B"/>
    <w:rsid w:val="00EB75ED"/>
    <w:rsid w:val="00EC0391"/>
    <w:rsid w:val="00EC0C54"/>
    <w:rsid w:val="00EC2973"/>
    <w:rsid w:val="00EC2BEE"/>
    <w:rsid w:val="00EC30BD"/>
    <w:rsid w:val="00EC33CB"/>
    <w:rsid w:val="00EC480B"/>
    <w:rsid w:val="00EC4E26"/>
    <w:rsid w:val="00EC65BF"/>
    <w:rsid w:val="00EC6BE4"/>
    <w:rsid w:val="00EC6E34"/>
    <w:rsid w:val="00ED09D1"/>
    <w:rsid w:val="00ED184F"/>
    <w:rsid w:val="00ED1D7C"/>
    <w:rsid w:val="00ED2353"/>
    <w:rsid w:val="00ED51BC"/>
    <w:rsid w:val="00ED6433"/>
    <w:rsid w:val="00ED653C"/>
    <w:rsid w:val="00ED7E23"/>
    <w:rsid w:val="00EE26B7"/>
    <w:rsid w:val="00EE309F"/>
    <w:rsid w:val="00EE3D02"/>
    <w:rsid w:val="00EE55B9"/>
    <w:rsid w:val="00EF1A74"/>
    <w:rsid w:val="00EF3CD5"/>
    <w:rsid w:val="00EF4EC9"/>
    <w:rsid w:val="00EF5B2D"/>
    <w:rsid w:val="00EF7609"/>
    <w:rsid w:val="00EF77D8"/>
    <w:rsid w:val="00F00A3C"/>
    <w:rsid w:val="00F00C95"/>
    <w:rsid w:val="00F011A3"/>
    <w:rsid w:val="00F0379F"/>
    <w:rsid w:val="00F03ECD"/>
    <w:rsid w:val="00F04691"/>
    <w:rsid w:val="00F05CEC"/>
    <w:rsid w:val="00F05FDC"/>
    <w:rsid w:val="00F06771"/>
    <w:rsid w:val="00F0785C"/>
    <w:rsid w:val="00F11499"/>
    <w:rsid w:val="00F11AE7"/>
    <w:rsid w:val="00F12A1D"/>
    <w:rsid w:val="00F13992"/>
    <w:rsid w:val="00F14101"/>
    <w:rsid w:val="00F1476C"/>
    <w:rsid w:val="00F2114A"/>
    <w:rsid w:val="00F21B72"/>
    <w:rsid w:val="00F21E64"/>
    <w:rsid w:val="00F235E8"/>
    <w:rsid w:val="00F23657"/>
    <w:rsid w:val="00F23778"/>
    <w:rsid w:val="00F23B02"/>
    <w:rsid w:val="00F259ED"/>
    <w:rsid w:val="00F25A2B"/>
    <w:rsid w:val="00F26A5F"/>
    <w:rsid w:val="00F26A6B"/>
    <w:rsid w:val="00F26A75"/>
    <w:rsid w:val="00F30EA9"/>
    <w:rsid w:val="00F32B29"/>
    <w:rsid w:val="00F32CAA"/>
    <w:rsid w:val="00F34B8B"/>
    <w:rsid w:val="00F34DDA"/>
    <w:rsid w:val="00F35158"/>
    <w:rsid w:val="00F35400"/>
    <w:rsid w:val="00F35720"/>
    <w:rsid w:val="00F37DC9"/>
    <w:rsid w:val="00F37F8D"/>
    <w:rsid w:val="00F41211"/>
    <w:rsid w:val="00F41BE1"/>
    <w:rsid w:val="00F43FA8"/>
    <w:rsid w:val="00F453D9"/>
    <w:rsid w:val="00F466F0"/>
    <w:rsid w:val="00F467AC"/>
    <w:rsid w:val="00F50F4D"/>
    <w:rsid w:val="00F52BCA"/>
    <w:rsid w:val="00F53B63"/>
    <w:rsid w:val="00F53D00"/>
    <w:rsid w:val="00F54AA2"/>
    <w:rsid w:val="00F54AFC"/>
    <w:rsid w:val="00F54C59"/>
    <w:rsid w:val="00F55106"/>
    <w:rsid w:val="00F5554C"/>
    <w:rsid w:val="00F55A6B"/>
    <w:rsid w:val="00F55C33"/>
    <w:rsid w:val="00F566B4"/>
    <w:rsid w:val="00F56B3E"/>
    <w:rsid w:val="00F5748A"/>
    <w:rsid w:val="00F57B9F"/>
    <w:rsid w:val="00F57DAD"/>
    <w:rsid w:val="00F60012"/>
    <w:rsid w:val="00F6050A"/>
    <w:rsid w:val="00F60817"/>
    <w:rsid w:val="00F6095C"/>
    <w:rsid w:val="00F619A8"/>
    <w:rsid w:val="00F621F6"/>
    <w:rsid w:val="00F63694"/>
    <w:rsid w:val="00F63B05"/>
    <w:rsid w:val="00F64869"/>
    <w:rsid w:val="00F651A3"/>
    <w:rsid w:val="00F659F3"/>
    <w:rsid w:val="00F666AF"/>
    <w:rsid w:val="00F670F3"/>
    <w:rsid w:val="00F6756E"/>
    <w:rsid w:val="00F701CE"/>
    <w:rsid w:val="00F70DDA"/>
    <w:rsid w:val="00F720C0"/>
    <w:rsid w:val="00F72CA2"/>
    <w:rsid w:val="00F73F2C"/>
    <w:rsid w:val="00F7438F"/>
    <w:rsid w:val="00F75372"/>
    <w:rsid w:val="00F757CE"/>
    <w:rsid w:val="00F7628E"/>
    <w:rsid w:val="00F768CA"/>
    <w:rsid w:val="00F77E99"/>
    <w:rsid w:val="00F801A5"/>
    <w:rsid w:val="00F805CA"/>
    <w:rsid w:val="00F80B41"/>
    <w:rsid w:val="00F81C14"/>
    <w:rsid w:val="00F81D73"/>
    <w:rsid w:val="00F8353D"/>
    <w:rsid w:val="00F83D28"/>
    <w:rsid w:val="00F85BD2"/>
    <w:rsid w:val="00F87CE7"/>
    <w:rsid w:val="00F90BA0"/>
    <w:rsid w:val="00F911E6"/>
    <w:rsid w:val="00F917CA"/>
    <w:rsid w:val="00F9316B"/>
    <w:rsid w:val="00F93F42"/>
    <w:rsid w:val="00F94472"/>
    <w:rsid w:val="00F972FB"/>
    <w:rsid w:val="00FA0ADD"/>
    <w:rsid w:val="00FA0BED"/>
    <w:rsid w:val="00FA0D55"/>
    <w:rsid w:val="00FA3C8B"/>
    <w:rsid w:val="00FA4407"/>
    <w:rsid w:val="00FA4595"/>
    <w:rsid w:val="00FA517C"/>
    <w:rsid w:val="00FA5CAC"/>
    <w:rsid w:val="00FA663D"/>
    <w:rsid w:val="00FA7D7F"/>
    <w:rsid w:val="00FB0C99"/>
    <w:rsid w:val="00FB1B8E"/>
    <w:rsid w:val="00FB1BCD"/>
    <w:rsid w:val="00FB1EE0"/>
    <w:rsid w:val="00FB2053"/>
    <w:rsid w:val="00FB2FB6"/>
    <w:rsid w:val="00FB30EE"/>
    <w:rsid w:val="00FB4268"/>
    <w:rsid w:val="00FB42A8"/>
    <w:rsid w:val="00FB447B"/>
    <w:rsid w:val="00FB4510"/>
    <w:rsid w:val="00FB5979"/>
    <w:rsid w:val="00FB6A4D"/>
    <w:rsid w:val="00FB72E7"/>
    <w:rsid w:val="00FC0380"/>
    <w:rsid w:val="00FC1C44"/>
    <w:rsid w:val="00FC21FA"/>
    <w:rsid w:val="00FC3F03"/>
    <w:rsid w:val="00FC77D5"/>
    <w:rsid w:val="00FC7BA1"/>
    <w:rsid w:val="00FD0EEE"/>
    <w:rsid w:val="00FD1EE5"/>
    <w:rsid w:val="00FD46A2"/>
    <w:rsid w:val="00FD6660"/>
    <w:rsid w:val="00FD6999"/>
    <w:rsid w:val="00FE06CC"/>
    <w:rsid w:val="00FE18B5"/>
    <w:rsid w:val="00FE19E7"/>
    <w:rsid w:val="00FE1FF2"/>
    <w:rsid w:val="00FE20BB"/>
    <w:rsid w:val="00FE2AFF"/>
    <w:rsid w:val="00FE419B"/>
    <w:rsid w:val="00FE5A2F"/>
    <w:rsid w:val="00FE6006"/>
    <w:rsid w:val="00FE69B7"/>
    <w:rsid w:val="00FE7A52"/>
    <w:rsid w:val="00FF050A"/>
    <w:rsid w:val="00FF0C5B"/>
    <w:rsid w:val="00FF1E45"/>
    <w:rsid w:val="00FF2106"/>
    <w:rsid w:val="00FF39AF"/>
    <w:rsid w:val="00FF5180"/>
    <w:rsid w:val="00FF532E"/>
    <w:rsid w:val="00FF6373"/>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F5"/>
    <w:pPr>
      <w:spacing w:after="0" w:line="264" w:lineRule="auto"/>
    </w:pPr>
    <w:rPr>
      <w:rFonts w:ascii="Times New Roman" w:hAnsi="Times New Roman"/>
    </w:rPr>
  </w:style>
  <w:style w:type="paragraph" w:styleId="Heading1">
    <w:name w:val="heading 1"/>
    <w:basedOn w:val="Normal"/>
    <w:next w:val="Normal"/>
    <w:link w:val="Heading1Char"/>
    <w:uiPriority w:val="9"/>
    <w:qFormat/>
    <w:rsid w:val="002A3EEE"/>
    <w:pPr>
      <w:numPr>
        <w:numId w:val="2"/>
      </w:numPr>
      <w:spacing w:before="240"/>
      <w:contextualSpacing/>
      <w:outlineLvl w:val="0"/>
    </w:pPr>
    <w:rPr>
      <w:b/>
      <w:spacing w:val="5"/>
      <w:sz w:val="28"/>
      <w:szCs w:val="36"/>
    </w:rPr>
  </w:style>
  <w:style w:type="paragraph" w:styleId="Heading2">
    <w:name w:val="heading 2"/>
    <w:basedOn w:val="Normal"/>
    <w:next w:val="Normal"/>
    <w:link w:val="Heading2Char"/>
    <w:uiPriority w:val="9"/>
    <w:unhideWhenUsed/>
    <w:qFormat/>
    <w:rsid w:val="00643FB7"/>
    <w:pPr>
      <w:numPr>
        <w:ilvl w:val="1"/>
        <w:numId w:val="2"/>
      </w:numPr>
      <w:spacing w:before="200" w:after="120" w:line="271" w:lineRule="auto"/>
      <w:outlineLvl w:val="1"/>
    </w:pPr>
    <w:rPr>
      <w:rFonts w:cs="Times New Roman"/>
      <w:b/>
      <w:sz w:val="24"/>
      <w:szCs w:val="28"/>
    </w:rPr>
  </w:style>
  <w:style w:type="paragraph" w:styleId="Heading3">
    <w:name w:val="heading 3"/>
    <w:basedOn w:val="Normal"/>
    <w:next w:val="Normal"/>
    <w:link w:val="Heading3Char"/>
    <w:uiPriority w:val="9"/>
    <w:unhideWhenUsed/>
    <w:qFormat/>
    <w:rsid w:val="002D4972"/>
    <w:pPr>
      <w:numPr>
        <w:ilvl w:val="2"/>
        <w:numId w:val="2"/>
      </w:numPr>
      <w:spacing w:before="120" w:line="271" w:lineRule="auto"/>
      <w:outlineLvl w:val="2"/>
    </w:pPr>
    <w:rPr>
      <w:rFonts w:ascii="Times New Roman Bold" w:hAnsi="Times New Roman Bold" w:cs="Times New Roman"/>
      <w:b/>
      <w:iCs/>
      <w:szCs w:val="26"/>
    </w:rPr>
  </w:style>
  <w:style w:type="paragraph" w:styleId="Heading4">
    <w:name w:val="heading 4"/>
    <w:basedOn w:val="Normal"/>
    <w:next w:val="Normal"/>
    <w:link w:val="Heading4Char"/>
    <w:uiPriority w:val="9"/>
    <w:unhideWhenUsed/>
    <w:qFormat/>
    <w:rsid w:val="00D04502"/>
    <w:pPr>
      <w:spacing w:before="60" w:after="60"/>
      <w:outlineLvl w:val="3"/>
    </w:pPr>
    <w:rPr>
      <w:b/>
      <w:bCs/>
      <w:spacing w:val="5"/>
      <w:szCs w:val="24"/>
    </w:rPr>
  </w:style>
  <w:style w:type="paragraph" w:styleId="Heading5">
    <w:name w:val="heading 5"/>
    <w:basedOn w:val="Normal"/>
    <w:next w:val="Normal"/>
    <w:link w:val="Heading5Char"/>
    <w:uiPriority w:val="9"/>
    <w:unhideWhenUsed/>
    <w:qFormat/>
    <w:rsid w:val="008A2AC2"/>
    <w:pPr>
      <w:spacing w:before="120"/>
      <w:outlineLvl w:val="4"/>
    </w:pPr>
    <w:rPr>
      <w:b/>
      <w:i/>
      <w:iCs/>
      <w:szCs w:val="24"/>
    </w:rPr>
  </w:style>
  <w:style w:type="paragraph" w:styleId="Heading6">
    <w:name w:val="heading 6"/>
    <w:basedOn w:val="Normal"/>
    <w:next w:val="Normal"/>
    <w:link w:val="Heading6Char"/>
    <w:uiPriority w:val="9"/>
    <w:unhideWhenUsed/>
    <w:qFormat/>
    <w:rsid w:val="001E662A"/>
    <w:pPr>
      <w:shd w:val="clear" w:color="auto" w:fill="FFFFFF" w:themeFill="background1"/>
      <w:spacing w:before="60" w:after="60"/>
      <w:outlineLvl w:val="5"/>
    </w:pPr>
    <w:rPr>
      <w:rFonts w:ascii="Times New Roman Bold" w:hAnsi="Times New Roman Bold"/>
      <w:b/>
      <w:bCs/>
    </w:rPr>
  </w:style>
  <w:style w:type="paragraph" w:styleId="Heading7">
    <w:name w:val="heading 7"/>
    <w:basedOn w:val="Normal"/>
    <w:next w:val="Normal"/>
    <w:link w:val="Heading7Char"/>
    <w:uiPriority w:val="9"/>
    <w:semiHidden/>
    <w:unhideWhenUsed/>
    <w:qFormat/>
    <w:rsid w:val="00321FCF"/>
    <w:pPr>
      <w:numPr>
        <w:ilvl w:val="6"/>
        <w:numId w:val="2"/>
      </w:numPr>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321FCF"/>
    <w:pPr>
      <w:numPr>
        <w:ilvl w:val="7"/>
        <w:numId w:val="2"/>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21FCF"/>
    <w:pPr>
      <w:spacing w:line="271" w:lineRule="auto"/>
      <w:ind w:left="1584" w:hanging="1584"/>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EEE"/>
    <w:rPr>
      <w:rFonts w:ascii="Times New Roman" w:hAnsi="Times New Roman"/>
      <w:b/>
      <w:spacing w:val="5"/>
      <w:sz w:val="28"/>
      <w:szCs w:val="36"/>
    </w:rPr>
  </w:style>
  <w:style w:type="character" w:customStyle="1" w:styleId="Heading2Char">
    <w:name w:val="Heading 2 Char"/>
    <w:basedOn w:val="DefaultParagraphFont"/>
    <w:link w:val="Heading2"/>
    <w:uiPriority w:val="9"/>
    <w:rsid w:val="00643FB7"/>
    <w:rPr>
      <w:rFonts w:ascii="Times New Roman" w:hAnsi="Times New Roman" w:cs="Times New Roman"/>
      <w:b/>
      <w:sz w:val="24"/>
      <w:szCs w:val="28"/>
    </w:rPr>
  </w:style>
  <w:style w:type="character" w:customStyle="1" w:styleId="Heading3Char">
    <w:name w:val="Heading 3 Char"/>
    <w:basedOn w:val="DefaultParagraphFont"/>
    <w:link w:val="Heading3"/>
    <w:uiPriority w:val="9"/>
    <w:rsid w:val="002D4972"/>
    <w:rPr>
      <w:rFonts w:ascii="Times New Roman Bold" w:hAnsi="Times New Roman Bold" w:cs="Times New Roman"/>
      <w:b/>
      <w:iCs/>
      <w:szCs w:val="26"/>
    </w:rPr>
  </w:style>
  <w:style w:type="character" w:customStyle="1" w:styleId="Heading4Char">
    <w:name w:val="Heading 4 Char"/>
    <w:basedOn w:val="DefaultParagraphFont"/>
    <w:link w:val="Heading4"/>
    <w:uiPriority w:val="9"/>
    <w:rsid w:val="00D04502"/>
    <w:rPr>
      <w:rFonts w:ascii="Times New Roman" w:hAnsi="Times New Roman"/>
      <w:b/>
      <w:bCs/>
      <w:spacing w:val="5"/>
      <w:szCs w:val="24"/>
    </w:rPr>
  </w:style>
  <w:style w:type="character" w:customStyle="1" w:styleId="Heading5Char">
    <w:name w:val="Heading 5 Char"/>
    <w:basedOn w:val="DefaultParagraphFont"/>
    <w:link w:val="Heading5"/>
    <w:uiPriority w:val="9"/>
    <w:rsid w:val="008A2AC2"/>
    <w:rPr>
      <w:rFonts w:ascii="Times New Roman" w:hAnsi="Times New Roman"/>
      <w:b/>
      <w:i/>
      <w:iCs/>
      <w:szCs w:val="24"/>
    </w:rPr>
  </w:style>
  <w:style w:type="character" w:customStyle="1" w:styleId="Heading6Char">
    <w:name w:val="Heading 6 Char"/>
    <w:basedOn w:val="DefaultParagraphFont"/>
    <w:link w:val="Heading6"/>
    <w:uiPriority w:val="9"/>
    <w:rsid w:val="001E662A"/>
    <w:rPr>
      <w:rFonts w:ascii="Times New Roman Bold" w:hAnsi="Times New Roman Bold"/>
      <w:b/>
      <w:bCs/>
      <w:shd w:val="clear" w:color="auto" w:fill="FFFFFF" w:themeFill="background1"/>
    </w:rPr>
  </w:style>
  <w:style w:type="character" w:customStyle="1" w:styleId="Heading7Char">
    <w:name w:val="Heading 7 Char"/>
    <w:basedOn w:val="DefaultParagraphFont"/>
    <w:link w:val="Heading7"/>
    <w:uiPriority w:val="9"/>
    <w:semiHidden/>
    <w:rsid w:val="00321FCF"/>
    <w:rPr>
      <w:rFonts w:ascii="Times New Roman" w:hAnsi="Times New Roman"/>
      <w:b/>
      <w:bCs/>
      <w:i/>
      <w:iCs/>
      <w:color w:val="5A5A5A" w:themeColor="text1" w:themeTint="A5"/>
      <w:sz w:val="20"/>
      <w:szCs w:val="20"/>
    </w:rPr>
  </w:style>
  <w:style w:type="character" w:customStyle="1" w:styleId="Heading8Char">
    <w:name w:val="Heading 8 Char"/>
    <w:basedOn w:val="DefaultParagraphFont"/>
    <w:link w:val="Heading8"/>
    <w:uiPriority w:val="9"/>
    <w:rsid w:val="00321FCF"/>
    <w:rPr>
      <w:rFonts w:ascii="Times New Roman" w:hAnsi="Times New Roman"/>
      <w:b/>
      <w:bCs/>
      <w:color w:val="7F7F7F" w:themeColor="text1" w:themeTint="80"/>
      <w:sz w:val="20"/>
      <w:szCs w:val="20"/>
    </w:rPr>
  </w:style>
  <w:style w:type="character" w:customStyle="1" w:styleId="Heading9Char">
    <w:name w:val="Heading 9 Char"/>
    <w:basedOn w:val="DefaultParagraphFont"/>
    <w:link w:val="Heading9"/>
    <w:uiPriority w:val="9"/>
    <w:semiHidden/>
    <w:rsid w:val="00321FCF"/>
    <w:rPr>
      <w:rFonts w:ascii="Times New Roman" w:hAnsi="Times New Roman"/>
      <w:b/>
      <w:bCs/>
      <w:i/>
      <w:iCs/>
      <w:color w:val="7F7F7F" w:themeColor="text1" w:themeTint="80"/>
      <w:sz w:val="18"/>
      <w:szCs w:val="18"/>
    </w:rPr>
  </w:style>
  <w:style w:type="table" w:styleId="TableGrid">
    <w:name w:val="Table Grid"/>
    <w:basedOn w:val="TableNormal"/>
    <w:uiPriority w:val="59"/>
    <w:rsid w:val="00086A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Map Char,Map,Caption (table),Caption (tab"/>
    <w:basedOn w:val="Normal"/>
    <w:next w:val="Normal"/>
    <w:uiPriority w:val="35"/>
    <w:unhideWhenUsed/>
    <w:qFormat/>
    <w:rsid w:val="00A00721"/>
    <w:pPr>
      <w:spacing w:before="60" w:after="20"/>
      <w:jc w:val="center"/>
    </w:pPr>
    <w:rPr>
      <w:rFonts w:eastAsiaTheme="minorEastAsia"/>
      <w:bCs/>
      <w:sz w:val="20"/>
      <w:szCs w:val="20"/>
      <w:lang w:bidi="hi-IN"/>
    </w:rPr>
  </w:style>
  <w:style w:type="table" w:customStyle="1" w:styleId="LightList-Accent11">
    <w:name w:val="Light List - Accent 11"/>
    <w:basedOn w:val="TableNormal"/>
    <w:uiPriority w:val="61"/>
    <w:rsid w:val="00983EF3"/>
    <w:pPr>
      <w:spacing w:before="20" w:after="20" w:line="240" w:lineRule="auto"/>
    </w:pPr>
    <w:rPr>
      <w:rFonts w:ascii="Calibri" w:hAnsi="Calibri"/>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3">
    <w:name w:val="toc 3"/>
    <w:basedOn w:val="Normal"/>
    <w:next w:val="Normal"/>
    <w:uiPriority w:val="39"/>
    <w:rsid w:val="00F73F2C"/>
    <w:pPr>
      <w:spacing w:before="60" w:after="60" w:line="240" w:lineRule="auto"/>
      <w:ind w:left="448"/>
    </w:pPr>
    <w:rPr>
      <w:lang w:eastAsia="en-GB"/>
    </w:rPr>
  </w:style>
  <w:style w:type="character" w:customStyle="1" w:styleId="FootnoteCharacters">
    <w:name w:val="Footnote Characters"/>
    <w:rsid w:val="00C541C4"/>
    <w:rPr>
      <w:vertAlign w:val="superscript"/>
    </w:rPr>
  </w:style>
  <w:style w:type="paragraph" w:styleId="BodyText">
    <w:name w:val="Body Text"/>
    <w:basedOn w:val="Normal"/>
    <w:link w:val="BodyTextChar"/>
    <w:rsid w:val="00C541C4"/>
    <w:pPr>
      <w:jc w:val="both"/>
    </w:pPr>
    <w:rPr>
      <w:sz w:val="24"/>
    </w:rPr>
  </w:style>
  <w:style w:type="character" w:customStyle="1" w:styleId="BodyTextChar">
    <w:name w:val="Body Text Char"/>
    <w:basedOn w:val="DefaultParagraphFont"/>
    <w:link w:val="BodyText"/>
    <w:rsid w:val="00C541C4"/>
    <w:rPr>
      <w:rFonts w:ascii="Times New Roman" w:eastAsia="Times New Roman" w:hAnsi="Times New Roman" w:cs="Times New Roman"/>
      <w:sz w:val="24"/>
      <w:szCs w:val="20"/>
      <w:lang w:val="en-US" w:eastAsia="ar-SA"/>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t"/>
    <w:basedOn w:val="Normal"/>
    <w:link w:val="FootnoteTextChar"/>
    <w:rsid w:val="00C541C4"/>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t Char"/>
    <w:basedOn w:val="DefaultParagraphFont"/>
    <w:link w:val="FootnoteText"/>
    <w:rsid w:val="00C541C4"/>
    <w:rPr>
      <w:rFonts w:ascii="Times New Roman" w:eastAsia="Times New Roman" w:hAnsi="Times New Roman" w:cs="Times New Roman"/>
      <w:sz w:val="20"/>
      <w:szCs w:val="20"/>
      <w:lang w:val="en-US" w:eastAsia="ar-SA"/>
    </w:rPr>
  </w:style>
  <w:style w:type="paragraph" w:styleId="Subtitle">
    <w:name w:val="Subtitle"/>
    <w:basedOn w:val="Normal"/>
    <w:next w:val="Normal"/>
    <w:link w:val="SubtitleChar"/>
    <w:uiPriority w:val="11"/>
    <w:qFormat/>
    <w:rsid w:val="00321FCF"/>
    <w:rPr>
      <w:i/>
      <w:iCs/>
      <w:smallCaps/>
      <w:spacing w:val="10"/>
      <w:sz w:val="28"/>
      <w:szCs w:val="28"/>
    </w:rPr>
  </w:style>
  <w:style w:type="character" w:customStyle="1" w:styleId="SubtitleChar">
    <w:name w:val="Subtitle Char"/>
    <w:basedOn w:val="DefaultParagraphFont"/>
    <w:link w:val="Subtitle"/>
    <w:uiPriority w:val="11"/>
    <w:rsid w:val="00321FCF"/>
    <w:rPr>
      <w:i/>
      <w:iCs/>
      <w:smallCaps/>
      <w:spacing w:val="10"/>
      <w:sz w:val="28"/>
      <w:szCs w:val="28"/>
    </w:rPr>
  </w:style>
  <w:style w:type="paragraph" w:styleId="ListBullet2">
    <w:name w:val="List Bullet 2"/>
    <w:basedOn w:val="Normal"/>
    <w:link w:val="ListBullet2Char"/>
    <w:rsid w:val="00ED7E23"/>
    <w:pPr>
      <w:tabs>
        <w:tab w:val="num" w:pos="1080"/>
      </w:tabs>
      <w:spacing w:before="60" w:after="60"/>
      <w:ind w:left="-357"/>
      <w:jc w:val="both"/>
    </w:pPr>
    <w:rPr>
      <w:bCs/>
      <w:szCs w:val="24"/>
    </w:rPr>
  </w:style>
  <w:style w:type="character" w:customStyle="1" w:styleId="ListBullet2Char">
    <w:name w:val="List Bullet 2 Char"/>
    <w:basedOn w:val="DefaultParagraphFont"/>
    <w:link w:val="ListBullet2"/>
    <w:rsid w:val="00D9207E"/>
    <w:rPr>
      <w:rFonts w:ascii="Times New Roman" w:hAnsi="Times New Roman"/>
      <w:bCs/>
      <w:szCs w:val="24"/>
    </w:rPr>
  </w:style>
  <w:style w:type="paragraph" w:styleId="BodyTextIndent2">
    <w:name w:val="Body Text Indent 2"/>
    <w:basedOn w:val="Normal"/>
    <w:link w:val="BodyTextIndent2Char"/>
    <w:rsid w:val="00C541C4"/>
    <w:pPr>
      <w:spacing w:after="120" w:line="480" w:lineRule="auto"/>
      <w:ind w:left="283"/>
    </w:pPr>
  </w:style>
  <w:style w:type="character" w:customStyle="1" w:styleId="BodyTextIndent2Char">
    <w:name w:val="Body Text Indent 2 Char"/>
    <w:basedOn w:val="DefaultParagraphFont"/>
    <w:link w:val="BodyTextIndent2"/>
    <w:rsid w:val="00C541C4"/>
    <w:rPr>
      <w:rFonts w:ascii="Times New Roman" w:eastAsia="Times New Roman" w:hAnsi="Times New Roman" w:cs="Times New Roman"/>
      <w:sz w:val="20"/>
      <w:szCs w:val="20"/>
      <w:lang w:val="en-US" w:eastAsia="ar-SA"/>
    </w:rPr>
  </w:style>
  <w:style w:type="paragraph" w:styleId="Title">
    <w:name w:val="Title"/>
    <w:basedOn w:val="Normal"/>
    <w:next w:val="Normal"/>
    <w:link w:val="TitleChar"/>
    <w:uiPriority w:val="10"/>
    <w:qFormat/>
    <w:rsid w:val="00321FC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21FCF"/>
    <w:rPr>
      <w:smallCaps/>
      <w:sz w:val="52"/>
      <w:szCs w:val="52"/>
    </w:rPr>
  </w:style>
  <w:style w:type="character" w:styleId="Strong">
    <w:name w:val="Strong"/>
    <w:uiPriority w:val="22"/>
    <w:qFormat/>
    <w:rsid w:val="00321FCF"/>
    <w:rPr>
      <w:b/>
      <w:bCs/>
    </w:rPr>
  </w:style>
  <w:style w:type="character" w:styleId="Emphasis">
    <w:name w:val="Emphasis"/>
    <w:uiPriority w:val="20"/>
    <w:qFormat/>
    <w:rsid w:val="00321FCF"/>
    <w:rPr>
      <w:b/>
      <w:bCs/>
      <w:i/>
      <w:iCs/>
      <w:spacing w:val="10"/>
    </w:rPr>
  </w:style>
  <w:style w:type="paragraph" w:styleId="NoSpacing">
    <w:name w:val="No Spacing"/>
    <w:basedOn w:val="Normal"/>
    <w:link w:val="NoSpacingChar"/>
    <w:uiPriority w:val="1"/>
    <w:qFormat/>
    <w:rsid w:val="00321FCF"/>
    <w:pPr>
      <w:spacing w:line="240" w:lineRule="auto"/>
    </w:pPr>
  </w:style>
  <w:style w:type="character" w:customStyle="1" w:styleId="NoSpacingChar">
    <w:name w:val="No Spacing Char"/>
    <w:basedOn w:val="DefaultParagraphFont"/>
    <w:link w:val="NoSpacing"/>
    <w:uiPriority w:val="1"/>
    <w:rsid w:val="00321FCF"/>
  </w:style>
  <w:style w:type="paragraph" w:styleId="ListParagraph">
    <w:name w:val="List Paragraph"/>
    <w:basedOn w:val="Normal"/>
    <w:link w:val="ListParagraphChar"/>
    <w:uiPriority w:val="34"/>
    <w:qFormat/>
    <w:rsid w:val="00ED7E23"/>
    <w:pPr>
      <w:spacing w:before="60" w:after="60"/>
      <w:ind w:left="720"/>
    </w:pPr>
  </w:style>
  <w:style w:type="character" w:customStyle="1" w:styleId="ListParagraphChar">
    <w:name w:val="List Paragraph Char"/>
    <w:basedOn w:val="DefaultParagraphFont"/>
    <w:link w:val="ListParagraph"/>
    <w:uiPriority w:val="34"/>
    <w:rsid w:val="00ED7E23"/>
    <w:rPr>
      <w:rFonts w:ascii="Times New Roman" w:hAnsi="Times New Roman"/>
    </w:rPr>
  </w:style>
  <w:style w:type="paragraph" w:styleId="Quote">
    <w:name w:val="Quote"/>
    <w:basedOn w:val="Normal"/>
    <w:next w:val="Normal"/>
    <w:link w:val="QuoteChar"/>
    <w:uiPriority w:val="29"/>
    <w:qFormat/>
    <w:rsid w:val="00321FCF"/>
    <w:rPr>
      <w:i/>
      <w:iCs/>
    </w:rPr>
  </w:style>
  <w:style w:type="character" w:customStyle="1" w:styleId="QuoteChar">
    <w:name w:val="Quote Char"/>
    <w:basedOn w:val="DefaultParagraphFont"/>
    <w:link w:val="Quote"/>
    <w:uiPriority w:val="29"/>
    <w:rsid w:val="00321FCF"/>
    <w:rPr>
      <w:i/>
      <w:iCs/>
    </w:rPr>
  </w:style>
  <w:style w:type="paragraph" w:styleId="IntenseQuote">
    <w:name w:val="Intense Quote"/>
    <w:basedOn w:val="Normal"/>
    <w:next w:val="Normal"/>
    <w:link w:val="IntenseQuoteChar"/>
    <w:uiPriority w:val="30"/>
    <w:qFormat/>
    <w:rsid w:val="00321FC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21FCF"/>
    <w:rPr>
      <w:i/>
      <w:iCs/>
    </w:rPr>
  </w:style>
  <w:style w:type="character" w:styleId="SubtleEmphasis">
    <w:name w:val="Subtle Emphasis"/>
    <w:uiPriority w:val="19"/>
    <w:qFormat/>
    <w:rsid w:val="00321FCF"/>
    <w:rPr>
      <w:i/>
      <w:iCs/>
    </w:rPr>
  </w:style>
  <w:style w:type="character" w:styleId="IntenseEmphasis">
    <w:name w:val="Intense Emphasis"/>
    <w:uiPriority w:val="21"/>
    <w:qFormat/>
    <w:rsid w:val="00321FCF"/>
    <w:rPr>
      <w:b/>
      <w:bCs/>
      <w:i/>
      <w:iCs/>
    </w:rPr>
  </w:style>
  <w:style w:type="character" w:styleId="SubtleReference">
    <w:name w:val="Subtle Reference"/>
    <w:basedOn w:val="DefaultParagraphFont"/>
    <w:uiPriority w:val="31"/>
    <w:qFormat/>
    <w:rsid w:val="00321FCF"/>
    <w:rPr>
      <w:smallCaps/>
    </w:rPr>
  </w:style>
  <w:style w:type="character" w:styleId="IntenseReference">
    <w:name w:val="Intense Reference"/>
    <w:uiPriority w:val="32"/>
    <w:qFormat/>
    <w:rsid w:val="00321FCF"/>
    <w:rPr>
      <w:b/>
      <w:bCs/>
      <w:smallCaps/>
    </w:rPr>
  </w:style>
  <w:style w:type="character" w:styleId="BookTitle">
    <w:name w:val="Book Title"/>
    <w:basedOn w:val="DefaultParagraphFont"/>
    <w:uiPriority w:val="33"/>
    <w:qFormat/>
    <w:rsid w:val="00321FCF"/>
    <w:rPr>
      <w:i/>
      <w:iCs/>
      <w:smallCaps/>
      <w:spacing w:val="5"/>
    </w:rPr>
  </w:style>
  <w:style w:type="paragraph" w:styleId="TOCHeading">
    <w:name w:val="TOC Heading"/>
    <w:basedOn w:val="Heading1"/>
    <w:next w:val="Normal"/>
    <w:uiPriority w:val="39"/>
    <w:semiHidden/>
    <w:unhideWhenUsed/>
    <w:qFormat/>
    <w:rsid w:val="00321FCF"/>
    <w:pPr>
      <w:numPr>
        <w:numId w:val="0"/>
      </w:numPr>
      <w:outlineLvl w:val="9"/>
    </w:pPr>
    <w:rPr>
      <w:lang w:bidi="en-US"/>
    </w:rPr>
  </w:style>
  <w:style w:type="character" w:styleId="PageNumber">
    <w:name w:val="page number"/>
    <w:basedOn w:val="DefaultParagraphFont"/>
    <w:semiHidden/>
    <w:rsid w:val="00CB2E75"/>
  </w:style>
  <w:style w:type="paragraph" w:styleId="Header">
    <w:name w:val="header"/>
    <w:basedOn w:val="Normal"/>
    <w:link w:val="HeaderChar"/>
    <w:uiPriority w:val="99"/>
    <w:rsid w:val="00CB2E75"/>
    <w:pPr>
      <w:tabs>
        <w:tab w:val="center" w:pos="4320"/>
        <w:tab w:val="right" w:pos="8640"/>
      </w:tabs>
      <w:suppressAutoHyphens/>
      <w:spacing w:line="240" w:lineRule="auto"/>
    </w:pPr>
    <w:rPr>
      <w:rFonts w:ascii="Arial" w:eastAsia="Times New Roman" w:hAnsi="Arial" w:cs="Times New Roman"/>
      <w:sz w:val="20"/>
      <w:szCs w:val="24"/>
      <w:lang w:val="en-US" w:eastAsia="ar-SA"/>
    </w:rPr>
  </w:style>
  <w:style w:type="character" w:customStyle="1" w:styleId="HeaderChar">
    <w:name w:val="Header Char"/>
    <w:basedOn w:val="DefaultParagraphFont"/>
    <w:link w:val="Header"/>
    <w:uiPriority w:val="99"/>
    <w:rsid w:val="00CB2E75"/>
    <w:rPr>
      <w:rFonts w:ascii="Arial" w:eastAsia="Times New Roman" w:hAnsi="Arial" w:cs="Times New Roman"/>
      <w:sz w:val="20"/>
      <w:szCs w:val="24"/>
      <w:lang w:val="en-US" w:eastAsia="ar-SA"/>
    </w:rPr>
  </w:style>
  <w:style w:type="paragraph" w:styleId="Footer">
    <w:name w:val="footer"/>
    <w:basedOn w:val="Normal"/>
    <w:link w:val="FooterChar"/>
    <w:uiPriority w:val="99"/>
    <w:rsid w:val="00CB2E75"/>
    <w:pPr>
      <w:tabs>
        <w:tab w:val="center" w:pos="4419"/>
        <w:tab w:val="right" w:pos="8838"/>
      </w:tabs>
      <w:suppressAutoHyphens/>
      <w:spacing w:line="240" w:lineRule="auto"/>
    </w:pPr>
    <w:rPr>
      <w:rFonts w:eastAsia="Times New Roman" w:cs="Times New Roman"/>
      <w:sz w:val="20"/>
      <w:szCs w:val="20"/>
      <w:lang w:val="en-US" w:eastAsia="ar-SA"/>
    </w:rPr>
  </w:style>
  <w:style w:type="character" w:customStyle="1" w:styleId="FooterChar">
    <w:name w:val="Footer Char"/>
    <w:basedOn w:val="DefaultParagraphFont"/>
    <w:link w:val="Footer"/>
    <w:uiPriority w:val="99"/>
    <w:rsid w:val="00CB2E75"/>
    <w:rPr>
      <w:rFonts w:ascii="Times New Roman" w:eastAsia="Times New Roman" w:hAnsi="Times New Roman" w:cs="Times New Roman"/>
      <w:sz w:val="20"/>
      <w:szCs w:val="20"/>
      <w:lang w:val="en-US" w:eastAsia="ar-SA"/>
    </w:rPr>
  </w:style>
  <w:style w:type="paragraph" w:styleId="BalloonText">
    <w:name w:val="Balloon Text"/>
    <w:basedOn w:val="Normal"/>
    <w:link w:val="BalloonTextChar"/>
    <w:uiPriority w:val="99"/>
    <w:semiHidden/>
    <w:unhideWhenUsed/>
    <w:rsid w:val="00CB2E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75"/>
    <w:rPr>
      <w:rFonts w:ascii="Tahoma" w:hAnsi="Tahoma" w:cs="Tahoma"/>
      <w:sz w:val="16"/>
      <w:szCs w:val="16"/>
    </w:rPr>
  </w:style>
  <w:style w:type="paragraph" w:customStyle="1" w:styleId="Default">
    <w:name w:val="Default"/>
    <w:rsid w:val="001E3348"/>
    <w:pPr>
      <w:autoSpaceDE w:val="0"/>
      <w:autoSpaceDN w:val="0"/>
      <w:adjustRightInd w:val="0"/>
      <w:spacing w:after="0" w:line="240" w:lineRule="auto"/>
    </w:pPr>
    <w:rPr>
      <w:rFonts w:ascii="Myriad Pro" w:eastAsia="MS Mincho" w:hAnsi="Myriad Pro" w:cs="Myriad Pro"/>
      <w:color w:val="000000"/>
      <w:sz w:val="24"/>
      <w:szCs w:val="24"/>
      <w:lang w:val="en-US" w:eastAsia="ja-JP"/>
    </w:rPr>
  </w:style>
  <w:style w:type="paragraph" w:styleId="BodyText2">
    <w:name w:val="Body Text 2"/>
    <w:basedOn w:val="Normal"/>
    <w:link w:val="BodyText2Char"/>
    <w:uiPriority w:val="99"/>
    <w:unhideWhenUsed/>
    <w:rsid w:val="008E736C"/>
    <w:pPr>
      <w:spacing w:after="120" w:line="480" w:lineRule="auto"/>
    </w:pPr>
  </w:style>
  <w:style w:type="character" w:customStyle="1" w:styleId="BodyText2Char">
    <w:name w:val="Body Text 2 Char"/>
    <w:basedOn w:val="DefaultParagraphFont"/>
    <w:link w:val="BodyText2"/>
    <w:uiPriority w:val="99"/>
    <w:rsid w:val="008E736C"/>
  </w:style>
  <w:style w:type="character" w:styleId="Hyperlink">
    <w:name w:val="Hyperlink"/>
    <w:basedOn w:val="DefaultParagraphFont"/>
    <w:uiPriority w:val="99"/>
    <w:unhideWhenUsed/>
    <w:rsid w:val="0020647E"/>
    <w:rPr>
      <w:color w:val="0000FF" w:themeColor="hyperlink"/>
      <w:u w:val="single"/>
    </w:rPr>
  </w:style>
  <w:style w:type="paragraph" w:customStyle="1" w:styleId="PersonalName">
    <w:name w:val="Personal Name"/>
    <w:basedOn w:val="Title"/>
    <w:rsid w:val="00CA1DA8"/>
    <w:rPr>
      <w:b/>
      <w:caps/>
      <w:color w:val="000000"/>
      <w:sz w:val="28"/>
      <w:szCs w:val="28"/>
    </w:rPr>
  </w:style>
  <w:style w:type="paragraph" w:styleId="PlainText">
    <w:name w:val="Plain Text"/>
    <w:basedOn w:val="Normal"/>
    <w:link w:val="PlainTextChar"/>
    <w:rsid w:val="00256D14"/>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56D14"/>
    <w:rPr>
      <w:rFonts w:ascii="Courier New" w:eastAsia="Times New Roman" w:hAnsi="Courier New" w:cs="Courier New"/>
      <w:sz w:val="20"/>
      <w:szCs w:val="20"/>
    </w:rPr>
  </w:style>
  <w:style w:type="paragraph" w:customStyle="1" w:styleId="Char">
    <w:name w:val="Char"/>
    <w:basedOn w:val="Heading2"/>
    <w:rsid w:val="00487E7B"/>
    <w:pPr>
      <w:keepNext/>
      <w:pageBreakBefore/>
      <w:numPr>
        <w:ilvl w:val="0"/>
        <w:numId w:val="0"/>
      </w:numPr>
      <w:tabs>
        <w:tab w:val="left" w:pos="850"/>
        <w:tab w:val="left" w:pos="1191"/>
        <w:tab w:val="left" w:pos="1531"/>
      </w:tabs>
      <w:spacing w:before="120" w:line="240" w:lineRule="auto"/>
      <w:jc w:val="center"/>
    </w:pPr>
    <w:rPr>
      <w:rFonts w:ascii="Tahoma" w:eastAsia="Times New Roman" w:hAnsi="Tahoma" w:cs="Tahoma"/>
      <w:b w:val="0"/>
      <w:smallCaps/>
      <w:color w:val="FFFFFF"/>
      <w:spacing w:val="20"/>
      <w:sz w:val="22"/>
      <w:szCs w:val="22"/>
      <w:lang w:eastAsia="zh-CN"/>
    </w:rPr>
  </w:style>
  <w:style w:type="paragraph" w:styleId="TOC4">
    <w:name w:val="toc 4"/>
    <w:basedOn w:val="Normal"/>
    <w:next w:val="Normal"/>
    <w:autoRedefine/>
    <w:uiPriority w:val="39"/>
    <w:unhideWhenUsed/>
    <w:rsid w:val="00A47A69"/>
    <w:pPr>
      <w:spacing w:after="100"/>
      <w:ind w:left="660"/>
    </w:pPr>
  </w:style>
  <w:style w:type="paragraph" w:customStyle="1" w:styleId="BankNormal">
    <w:name w:val="BankNormal"/>
    <w:basedOn w:val="Normal"/>
    <w:rsid w:val="00A47A69"/>
    <w:pPr>
      <w:spacing w:after="240" w:line="240" w:lineRule="auto"/>
    </w:pPr>
    <w:rPr>
      <w:rFonts w:eastAsia="Times New Roman" w:cs="Times New Roman"/>
      <w:sz w:val="24"/>
      <w:szCs w:val="20"/>
      <w:lang w:val="en-US"/>
    </w:rPr>
  </w:style>
  <w:style w:type="character" w:styleId="FootnoteReference">
    <w:name w:val="footnote reference"/>
    <w:aliases w:val="16 Point,Superscript 6 Point,Superscript 6 Point + 11 pt"/>
    <w:basedOn w:val="DefaultParagraphFont"/>
    <w:unhideWhenUsed/>
    <w:rsid w:val="00136531"/>
    <w:rPr>
      <w:vertAlign w:val="superscript"/>
    </w:rPr>
  </w:style>
  <w:style w:type="paragraph" w:customStyle="1" w:styleId="Textoindependiente">
    <w:name w:val="Texto.independiente"/>
    <w:basedOn w:val="Normal"/>
    <w:rsid w:val="00AF230D"/>
    <w:pPr>
      <w:spacing w:after="120" w:line="240" w:lineRule="auto"/>
      <w:jc w:val="both"/>
    </w:pPr>
    <w:rPr>
      <w:rFonts w:eastAsia="Times New Roman" w:cs="Times New Roman"/>
      <w:szCs w:val="20"/>
      <w:lang w:val="da-DK"/>
    </w:rPr>
  </w:style>
  <w:style w:type="paragraph" w:styleId="BodyTextIndent">
    <w:name w:val="Body Text Indent"/>
    <w:basedOn w:val="Normal"/>
    <w:link w:val="BodyTextIndentChar"/>
    <w:uiPriority w:val="99"/>
    <w:semiHidden/>
    <w:unhideWhenUsed/>
    <w:rsid w:val="003D7079"/>
    <w:pPr>
      <w:spacing w:after="120"/>
      <w:ind w:left="283"/>
    </w:pPr>
  </w:style>
  <w:style w:type="character" w:customStyle="1" w:styleId="BodyTextIndentChar">
    <w:name w:val="Body Text Indent Char"/>
    <w:basedOn w:val="DefaultParagraphFont"/>
    <w:link w:val="BodyTextIndent"/>
    <w:uiPriority w:val="99"/>
    <w:semiHidden/>
    <w:rsid w:val="003D7079"/>
  </w:style>
  <w:style w:type="paragraph" w:customStyle="1" w:styleId="StyleBulletBold">
    <w:name w:val="Style Bullet + Bold"/>
    <w:basedOn w:val="Normal"/>
    <w:rsid w:val="003D7079"/>
    <w:pPr>
      <w:tabs>
        <w:tab w:val="num" w:pos="720"/>
      </w:tabs>
      <w:suppressAutoHyphens/>
      <w:spacing w:line="240" w:lineRule="auto"/>
    </w:pPr>
    <w:rPr>
      <w:rFonts w:eastAsia="Times New Roman" w:cs="Times New Roman"/>
      <w:sz w:val="24"/>
      <w:szCs w:val="24"/>
      <w:lang w:val="en-US" w:eastAsia="ar-SA"/>
    </w:rPr>
  </w:style>
  <w:style w:type="paragraph" w:customStyle="1" w:styleId="Memoheading">
    <w:name w:val="Memo heading"/>
    <w:basedOn w:val="Normal"/>
    <w:rsid w:val="003D7079"/>
    <w:pPr>
      <w:spacing w:line="240" w:lineRule="auto"/>
    </w:pPr>
    <w:rPr>
      <w:rFonts w:eastAsia="Times New Roman" w:cs="Times New Roman"/>
      <w:sz w:val="24"/>
      <w:szCs w:val="24"/>
      <w:lang w:val="en-US"/>
    </w:rPr>
  </w:style>
  <w:style w:type="paragraph" w:customStyle="1" w:styleId="f4">
    <w:name w:val="f4"/>
    <w:rsid w:val="00071463"/>
    <w:pPr>
      <w:widowControl w:val="0"/>
      <w:spacing w:after="0" w:line="240" w:lineRule="auto"/>
    </w:pPr>
    <w:rPr>
      <w:rFonts w:ascii="CG Times" w:eastAsia="Times New Roman" w:hAnsi="CG Times" w:cs="Times New Roman"/>
      <w:szCs w:val="20"/>
      <w:lang w:val="en-AU"/>
    </w:rPr>
  </w:style>
  <w:style w:type="paragraph" w:customStyle="1" w:styleId="NumberedPara">
    <w:name w:val="Numbered Para"/>
    <w:basedOn w:val="ListParagraph"/>
    <w:link w:val="NumberedParaChar"/>
    <w:qFormat/>
    <w:rsid w:val="00E314B1"/>
    <w:pPr>
      <w:numPr>
        <w:numId w:val="3"/>
      </w:numPr>
      <w:tabs>
        <w:tab w:val="left" w:pos="567"/>
      </w:tabs>
      <w:spacing w:before="80" w:after="80"/>
      <w:ind w:left="0" w:firstLine="0"/>
      <w:jc w:val="both"/>
    </w:pPr>
  </w:style>
  <w:style w:type="character" w:customStyle="1" w:styleId="NumberedParaChar">
    <w:name w:val="Numbered Para Char"/>
    <w:basedOn w:val="ListParagraphChar"/>
    <w:link w:val="NumberedPara"/>
    <w:rsid w:val="00E314B1"/>
    <w:rPr>
      <w:rFonts w:ascii="Times New Roman" w:hAnsi="Times New Roman"/>
    </w:rPr>
  </w:style>
  <w:style w:type="paragraph" w:customStyle="1" w:styleId="Tablecontent">
    <w:name w:val="Table content"/>
    <w:basedOn w:val="Normal"/>
    <w:link w:val="TablecontentChar"/>
    <w:qFormat/>
    <w:rsid w:val="00D9207E"/>
    <w:pPr>
      <w:spacing w:line="240" w:lineRule="auto"/>
    </w:pPr>
    <w:rPr>
      <w:rFonts w:eastAsia="Times New Roman" w:cs="Times New Roman"/>
      <w:lang w:val="en-US" w:eastAsia="en-GB"/>
    </w:rPr>
  </w:style>
  <w:style w:type="character" w:customStyle="1" w:styleId="TablecontentChar">
    <w:name w:val="Table content Char"/>
    <w:basedOn w:val="ListBullet2Char"/>
    <w:link w:val="Tablecontent"/>
    <w:rsid w:val="00D9207E"/>
    <w:rPr>
      <w:rFonts w:ascii="Times New Roman" w:eastAsia="Times New Roman" w:hAnsi="Times New Roman" w:cs="Times New Roman"/>
      <w:bCs w:val="0"/>
      <w:szCs w:val="24"/>
      <w:lang w:val="en-US" w:eastAsia="en-GB"/>
    </w:rPr>
  </w:style>
  <w:style w:type="paragraph" w:customStyle="1" w:styleId="ListBulletindent">
    <w:name w:val="List Bullet indent"/>
    <w:basedOn w:val="ListParagraph"/>
    <w:link w:val="ListBulletindentChar"/>
    <w:qFormat/>
    <w:rsid w:val="002A3352"/>
    <w:pPr>
      <w:numPr>
        <w:numId w:val="1"/>
      </w:numPr>
    </w:pPr>
  </w:style>
  <w:style w:type="character" w:customStyle="1" w:styleId="ListBulletindentChar">
    <w:name w:val="List Bullet indent Char"/>
    <w:basedOn w:val="ListParagraphChar"/>
    <w:link w:val="ListBulletindent"/>
    <w:rsid w:val="002A3352"/>
    <w:rPr>
      <w:rFonts w:ascii="Times New Roman" w:hAnsi="Times New Roman"/>
    </w:rPr>
  </w:style>
  <w:style w:type="character" w:styleId="FollowedHyperlink">
    <w:name w:val="FollowedHyperlink"/>
    <w:basedOn w:val="DefaultParagraphFont"/>
    <w:uiPriority w:val="99"/>
    <w:unhideWhenUsed/>
    <w:rsid w:val="00B42E05"/>
    <w:rPr>
      <w:color w:val="800080" w:themeColor="followedHyperlink"/>
      <w:u w:val="single"/>
    </w:rPr>
  </w:style>
  <w:style w:type="paragraph" w:styleId="NormalIndent">
    <w:name w:val="Normal Indent"/>
    <w:basedOn w:val="Normal"/>
    <w:rsid w:val="003A3389"/>
    <w:pPr>
      <w:spacing w:line="240" w:lineRule="auto"/>
      <w:ind w:left="720"/>
    </w:pPr>
    <w:rPr>
      <w:rFonts w:eastAsia="Times New Roman" w:cs="Times New Roman"/>
      <w:sz w:val="24"/>
      <w:szCs w:val="20"/>
      <w:lang w:val="en-US"/>
    </w:rPr>
  </w:style>
  <w:style w:type="paragraph" w:customStyle="1" w:styleId="font6">
    <w:name w:val="font6"/>
    <w:basedOn w:val="Normal"/>
    <w:rsid w:val="00EF4EC9"/>
    <w:pPr>
      <w:spacing w:before="100" w:beforeAutospacing="1" w:after="100" w:afterAutospacing="1" w:line="240" w:lineRule="auto"/>
    </w:pPr>
    <w:rPr>
      <w:rFonts w:eastAsia="Arial Unicode MS" w:cs="Times New Roman"/>
      <w:sz w:val="18"/>
      <w:szCs w:val="18"/>
      <w:lang w:val="en-US"/>
    </w:rPr>
  </w:style>
  <w:style w:type="paragraph" w:customStyle="1" w:styleId="xl31">
    <w:name w:val="xl31"/>
    <w:basedOn w:val="Normal"/>
    <w:rsid w:val="0065624F"/>
    <w:pPr>
      <w:spacing w:before="100" w:beforeAutospacing="1" w:after="100" w:afterAutospacing="1" w:line="240" w:lineRule="auto"/>
    </w:pPr>
    <w:rPr>
      <w:rFonts w:eastAsia="Arial Unicode MS" w:cs="Times New Roman"/>
      <w:color w:val="000000"/>
      <w:sz w:val="18"/>
      <w:szCs w:val="18"/>
      <w:lang w:val="en-US"/>
    </w:rPr>
  </w:style>
  <w:style w:type="table" w:customStyle="1" w:styleId="LightList1">
    <w:name w:val="Light List1"/>
    <w:basedOn w:val="TableNormal"/>
    <w:uiPriority w:val="61"/>
    <w:rsid w:val="005F12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1">
    <w:name w:val="Style1"/>
    <w:basedOn w:val="TableNormal"/>
    <w:uiPriority w:val="99"/>
    <w:rsid w:val="005F1257"/>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5F125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26528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tyle2">
    <w:name w:val="Style2"/>
    <w:basedOn w:val="TableNormal"/>
    <w:uiPriority w:val="99"/>
    <w:rsid w:val="002F1C09"/>
    <w:pPr>
      <w:spacing w:after="0" w:line="240" w:lineRule="auto"/>
    </w:p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
    <w:tblStylePr w:type="firstRow">
      <w:pPr>
        <w:wordWrap/>
        <w:jc w:val="center"/>
      </w:pPr>
      <w:rPr>
        <w:b/>
        <w:color w:val="FFFFFF" w:themeColor="background1"/>
      </w:rPr>
      <w:tblPr/>
      <w:tcPr>
        <w:shd w:val="clear" w:color="auto" w:fill="A6A6A6" w:themeFill="background1" w:themeFillShade="A6"/>
      </w:tcPr>
    </w:tblStylePr>
  </w:style>
  <w:style w:type="table" w:customStyle="1" w:styleId="PlainReport">
    <w:name w:val="Plain Report"/>
    <w:basedOn w:val="TableNormal"/>
    <w:uiPriority w:val="99"/>
    <w:rsid w:val="002F1C09"/>
    <w:pPr>
      <w:spacing w:after="0" w:line="240" w:lineRule="auto"/>
    </w:pPr>
    <w:rPr>
      <w:rFonts w:ascii="Times New Roman" w:hAnsi="Times New Roman"/>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
    <w:tblStylePr w:type="firstRow">
      <w:pPr>
        <w:jc w:val="center"/>
      </w:pPr>
      <w:rPr>
        <w:b/>
      </w:rPr>
      <w:tblPr/>
      <w:tcPr>
        <w:shd w:val="clear" w:color="auto" w:fill="A6A6A6" w:themeFill="background1" w:themeFillShade="A6"/>
        <w:vAlign w:val="center"/>
      </w:tcPr>
    </w:tblStylePr>
  </w:style>
  <w:style w:type="table" w:customStyle="1" w:styleId="BasicReportTable">
    <w:name w:val="Basic Report Table"/>
    <w:basedOn w:val="TableNormal"/>
    <w:uiPriority w:val="99"/>
    <w:rsid w:val="007B4BCB"/>
    <w:pPr>
      <w:spacing w:after="0" w:line="240" w:lineRule="auto"/>
    </w:pPr>
    <w:rPr>
      <w:rFonts w:ascii="Times New Roman" w:hAnsi="Times New Roman"/>
      <w:sz w:val="20"/>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wordWrap/>
        <w:spacing w:beforeLines="0" w:beforeAutospacing="0" w:afterLines="0" w:afterAutospacing="0" w:line="240" w:lineRule="auto"/>
        <w:jc w:val="center"/>
      </w:pPr>
      <w:rPr>
        <w:b/>
        <w:i w:val="0"/>
        <w:color w:val="FFFFFF" w:themeColor="background1"/>
        <w:u w:val="none"/>
      </w:rPr>
      <w:tblPr/>
      <w:tcPr>
        <w:tcBorders>
          <w:insideH w:val="single" w:sz="4" w:space="0" w:color="F2F2F2" w:themeColor="background1" w:themeShade="F2"/>
          <w:insideV w:val="single" w:sz="4" w:space="0" w:color="F2F2F2" w:themeColor="background1" w:themeShade="F2"/>
        </w:tcBorders>
        <w:shd w:val="clear" w:color="auto" w:fill="808080" w:themeFill="background1" w:themeFillShade="80"/>
        <w:vAlign w:val="center"/>
      </w:tcPr>
    </w:tblStylePr>
  </w:style>
  <w:style w:type="paragraph" w:styleId="EndnoteText">
    <w:name w:val="endnote text"/>
    <w:basedOn w:val="Normal"/>
    <w:link w:val="EndnoteTextChar"/>
    <w:semiHidden/>
    <w:rsid w:val="008721D2"/>
    <w:pPr>
      <w:spacing w:line="240" w:lineRule="auto"/>
    </w:pPr>
    <w:rPr>
      <w:rFonts w:ascii="Helvetica" w:eastAsia="Times New Roman" w:hAnsi="Helvetica" w:cs="Times New Roman"/>
      <w:bCs/>
      <w:color w:val="221E1F"/>
      <w:sz w:val="20"/>
      <w:szCs w:val="20"/>
      <w:lang w:val="en-US"/>
    </w:rPr>
  </w:style>
  <w:style w:type="character" w:customStyle="1" w:styleId="EndnoteTextChar">
    <w:name w:val="Endnote Text Char"/>
    <w:basedOn w:val="DefaultParagraphFont"/>
    <w:link w:val="EndnoteText"/>
    <w:semiHidden/>
    <w:rsid w:val="008721D2"/>
    <w:rPr>
      <w:rFonts w:ascii="Helvetica" w:eastAsia="Times New Roman" w:hAnsi="Helvetica" w:cs="Times New Roman"/>
      <w:bCs/>
      <w:color w:val="221E1F"/>
      <w:sz w:val="20"/>
      <w:szCs w:val="20"/>
      <w:lang w:val="en-US"/>
    </w:rPr>
  </w:style>
  <w:style w:type="character" w:styleId="EndnoteReference">
    <w:name w:val="endnote reference"/>
    <w:basedOn w:val="DefaultParagraphFont"/>
    <w:semiHidden/>
    <w:rsid w:val="008721D2"/>
    <w:rPr>
      <w:vertAlign w:val="superscript"/>
    </w:rPr>
  </w:style>
  <w:style w:type="paragraph" w:styleId="TOC1">
    <w:name w:val="toc 1"/>
    <w:basedOn w:val="Normal"/>
    <w:next w:val="Normal"/>
    <w:autoRedefine/>
    <w:uiPriority w:val="39"/>
    <w:unhideWhenUsed/>
    <w:rsid w:val="007315E1"/>
    <w:pPr>
      <w:spacing w:after="100" w:line="252" w:lineRule="auto"/>
    </w:pPr>
  </w:style>
  <w:style w:type="paragraph" w:styleId="TOC2">
    <w:name w:val="toc 2"/>
    <w:basedOn w:val="Normal"/>
    <w:next w:val="Normal"/>
    <w:autoRedefine/>
    <w:uiPriority w:val="39"/>
    <w:unhideWhenUsed/>
    <w:rsid w:val="00BA73ED"/>
    <w:pPr>
      <w:spacing w:after="100"/>
      <w:ind w:left="220"/>
    </w:pPr>
  </w:style>
  <w:style w:type="paragraph" w:customStyle="1" w:styleId="RecommendationHeading">
    <w:name w:val="Recommendation Heading"/>
    <w:basedOn w:val="ListParagraph"/>
    <w:next w:val="NumberedPara"/>
    <w:link w:val="RecommendationHeadingChar"/>
    <w:qFormat/>
    <w:rsid w:val="002D4972"/>
    <w:pPr>
      <w:numPr>
        <w:numId w:val="36"/>
      </w:numPr>
    </w:pPr>
  </w:style>
  <w:style w:type="character" w:customStyle="1" w:styleId="RecommendationHeadingChar">
    <w:name w:val="Recommendation Heading Char"/>
    <w:basedOn w:val="ListParagraphChar"/>
    <w:link w:val="RecommendationHeading"/>
    <w:rsid w:val="002D4972"/>
    <w:rPr>
      <w:rFonts w:ascii="Times New Roman" w:hAnsi="Times New Roman"/>
    </w:rPr>
  </w:style>
  <w:style w:type="paragraph" w:styleId="NormalWeb">
    <w:name w:val="Normal (Web)"/>
    <w:basedOn w:val="Normal"/>
    <w:uiPriority w:val="99"/>
    <w:rsid w:val="009324AD"/>
    <w:pPr>
      <w:spacing w:line="240" w:lineRule="auto"/>
    </w:pPr>
    <w:rPr>
      <w:rFonts w:eastAsia="Times New Roman" w:cs="Times New Roman"/>
      <w:sz w:val="24"/>
      <w:szCs w:val="24"/>
      <w:lang w:val="ru-RU" w:eastAsia="ru-RU"/>
    </w:rPr>
  </w:style>
  <w:style w:type="character" w:styleId="CommentReference">
    <w:name w:val="annotation reference"/>
    <w:basedOn w:val="DefaultParagraphFont"/>
    <w:uiPriority w:val="99"/>
    <w:unhideWhenUsed/>
    <w:rsid w:val="006C75EA"/>
    <w:rPr>
      <w:sz w:val="16"/>
      <w:szCs w:val="16"/>
    </w:rPr>
  </w:style>
  <w:style w:type="paragraph" w:styleId="CommentText">
    <w:name w:val="annotation text"/>
    <w:basedOn w:val="Normal"/>
    <w:link w:val="CommentTextChar"/>
    <w:unhideWhenUsed/>
    <w:rsid w:val="006C75EA"/>
    <w:pPr>
      <w:spacing w:line="240" w:lineRule="auto"/>
    </w:pPr>
    <w:rPr>
      <w:sz w:val="20"/>
      <w:szCs w:val="20"/>
    </w:rPr>
  </w:style>
  <w:style w:type="character" w:customStyle="1" w:styleId="CommentTextChar">
    <w:name w:val="Comment Text Char"/>
    <w:basedOn w:val="DefaultParagraphFont"/>
    <w:link w:val="CommentText"/>
    <w:rsid w:val="006C75EA"/>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6C75EA"/>
    <w:rPr>
      <w:b/>
      <w:bCs/>
    </w:rPr>
  </w:style>
  <w:style w:type="character" w:customStyle="1" w:styleId="CommentSubjectChar">
    <w:name w:val="Comment Subject Char"/>
    <w:basedOn w:val="CommentTextChar"/>
    <w:link w:val="CommentSubject"/>
    <w:uiPriority w:val="99"/>
    <w:rsid w:val="006C75EA"/>
    <w:rPr>
      <w:rFonts w:ascii="Times New Roman" w:hAnsi="Times New Roman"/>
      <w:b/>
      <w:bCs/>
      <w:sz w:val="20"/>
      <w:szCs w:val="20"/>
    </w:rPr>
  </w:style>
  <w:style w:type="character" w:customStyle="1" w:styleId="addthistoolbox">
    <w:name w:val="addthis_toolbox"/>
    <w:basedOn w:val="DefaultParagraphFont"/>
    <w:rsid w:val="00E65980"/>
  </w:style>
  <w:style w:type="character" w:customStyle="1" w:styleId="ata11y">
    <w:name w:val="at_a11y"/>
    <w:basedOn w:val="DefaultParagraphFont"/>
    <w:rsid w:val="00E65980"/>
  </w:style>
  <w:style w:type="paragraph" w:styleId="HTMLPreformatted">
    <w:name w:val="HTML Preformatted"/>
    <w:basedOn w:val="Normal"/>
    <w:link w:val="HTMLPreformattedChar"/>
    <w:uiPriority w:val="99"/>
    <w:unhideWhenUsed/>
    <w:rsid w:val="00E6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65980"/>
    <w:rPr>
      <w:rFonts w:ascii="Courier New" w:eastAsia="Times New Roman" w:hAnsi="Courier New" w:cs="Courier New"/>
      <w:sz w:val="20"/>
      <w:szCs w:val="20"/>
      <w:lang w:eastAsia="en-GB"/>
    </w:rPr>
  </w:style>
  <w:style w:type="paragraph" w:customStyle="1" w:styleId="TableText">
    <w:name w:val="TableText"/>
    <w:autoRedefine/>
    <w:rsid w:val="00255D97"/>
    <w:pPr>
      <w:tabs>
        <w:tab w:val="left" w:pos="-164"/>
      </w:tabs>
      <w:suppressAutoHyphens/>
      <w:spacing w:after="0" w:line="240" w:lineRule="auto"/>
    </w:pPr>
    <w:rPr>
      <w:rFonts w:ascii="Times New Roman" w:eastAsia="Times New Roman" w:hAnsi="Times New Roman" w:cs="Times New Roman"/>
    </w:rPr>
  </w:style>
  <w:style w:type="character" w:customStyle="1" w:styleId="Heading2Char2">
    <w:name w:val="Heading 2 Char2"/>
    <w:aliases w:val="Heading 2 Char Char Char Char1"/>
    <w:rsid w:val="00D14092"/>
    <w:rPr>
      <w:rFonts w:ascii="Arial" w:hAnsi="Arial" w:cs="Arial"/>
      <w:b/>
      <w:bCs/>
      <w:i/>
      <w:iCs/>
      <w:sz w:val="28"/>
      <w:szCs w:val="28"/>
    </w:rPr>
  </w:style>
  <w:style w:type="paragraph" w:customStyle="1" w:styleId="BodyText23">
    <w:name w:val="Body Text 23"/>
    <w:basedOn w:val="Normal"/>
    <w:rsid w:val="0017202F"/>
    <w:pPr>
      <w:widowControl w:val="0"/>
      <w:tabs>
        <w:tab w:val="left" w:pos="547"/>
      </w:tabs>
      <w:spacing w:line="240" w:lineRule="auto"/>
    </w:pPr>
    <w:rPr>
      <w:rFonts w:eastAsia="Times New Roman" w:cs="Times New Roman"/>
      <w:snapToGrid w:val="0"/>
      <w:szCs w:val="20"/>
      <w:lang w:val="en-US"/>
    </w:rPr>
  </w:style>
  <w:style w:type="paragraph" w:styleId="TOC5">
    <w:name w:val="toc 5"/>
    <w:basedOn w:val="Normal"/>
    <w:next w:val="Normal"/>
    <w:autoRedefine/>
    <w:uiPriority w:val="39"/>
    <w:unhideWhenUsed/>
    <w:rsid w:val="00BA4332"/>
    <w:pPr>
      <w:spacing w:after="100"/>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BA4332"/>
    <w:pPr>
      <w:spacing w:after="100"/>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BA4332"/>
    <w:pPr>
      <w:spacing w:after="100"/>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BA4332"/>
    <w:pPr>
      <w:spacing w:after="100"/>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BA4332"/>
    <w:pPr>
      <w:spacing w:after="100"/>
      <w:ind w:left="1760"/>
    </w:pPr>
    <w:rPr>
      <w:rFonts w:asciiTheme="minorHAnsi" w:eastAsiaTheme="minorEastAsia" w:hAnsiTheme="minorHAnsi" w:cstheme="minorBidi"/>
      <w:lang w:eastAsia="en-GB"/>
    </w:rPr>
  </w:style>
  <w:style w:type="paragraph" w:customStyle="1" w:styleId="Heading51">
    <w:name w:val="Heading 51"/>
    <w:basedOn w:val="Normal"/>
    <w:next w:val="Normal"/>
    <w:uiPriority w:val="9"/>
    <w:unhideWhenUsed/>
    <w:qFormat/>
    <w:rsid w:val="00FD46A2"/>
    <w:pPr>
      <w:pBdr>
        <w:bottom w:val="single" w:sz="6" w:space="1" w:color="4F81BD"/>
      </w:pBdr>
      <w:spacing w:before="300"/>
      <w:outlineLvl w:val="4"/>
    </w:pPr>
    <w:rPr>
      <w:rFonts w:ascii="Calibri" w:eastAsia="Times New Roman" w:hAnsi="Calibri" w:cs="Times New Roman"/>
      <w:b/>
      <w:caps/>
      <w:spacing w:val="10"/>
      <w:lang w:val="en-US" w:bidi="en-US"/>
    </w:rPr>
  </w:style>
  <w:style w:type="character" w:customStyle="1" w:styleId="pseditboxdisponly">
    <w:name w:val="pseditbox_disponly"/>
    <w:rsid w:val="00FD46A2"/>
  </w:style>
  <w:style w:type="paragraph" w:customStyle="1" w:styleId="A">
    <w:name w:val="A"/>
    <w:basedOn w:val="Normal"/>
    <w:rsid w:val="00FD46A2"/>
    <w:pPr>
      <w:numPr>
        <w:numId w:val="10"/>
      </w:numPr>
      <w:tabs>
        <w:tab w:val="clear" w:pos="720"/>
        <w:tab w:val="num" w:pos="540"/>
      </w:tabs>
      <w:spacing w:line="280" w:lineRule="exact"/>
      <w:ind w:left="0" w:firstLine="0"/>
      <w:jc w:val="both"/>
    </w:pPr>
    <w:rPr>
      <w:rFonts w:eastAsia="Times New Roman" w:cs="Times New Roman"/>
      <w:lang w:val="en-US"/>
    </w:rPr>
  </w:style>
  <w:style w:type="character" w:customStyle="1" w:styleId="longtext">
    <w:name w:val="long_text"/>
    <w:basedOn w:val="DefaultParagraphFont"/>
    <w:rsid w:val="00FD46A2"/>
  </w:style>
  <w:style w:type="paragraph" w:customStyle="1" w:styleId="Heading11">
    <w:name w:val="Heading 11"/>
    <w:basedOn w:val="Normal"/>
    <w:next w:val="Normal"/>
    <w:uiPriority w:val="9"/>
    <w:qFormat/>
    <w:rsid w:val="00FD46A2"/>
    <w:pPr>
      <w:pBdr>
        <w:top w:val="single" w:sz="24" w:space="0" w:color="4F81BD"/>
        <w:left w:val="single" w:sz="24" w:space="0" w:color="4F81BD"/>
        <w:bottom w:val="single" w:sz="24" w:space="0" w:color="4F81BD"/>
        <w:right w:val="single" w:sz="24" w:space="0" w:color="4F81BD"/>
      </w:pBdr>
      <w:shd w:val="clear" w:color="auto" w:fill="4F81BD"/>
      <w:spacing w:before="200"/>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unhideWhenUsed/>
    <w:qFormat/>
    <w:rsid w:val="00FD46A2"/>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ascii="Calibri" w:eastAsia="Times New Roman" w:hAnsi="Calibri" w:cs="Times New Roman"/>
      <w:caps/>
      <w:spacing w:val="15"/>
      <w:lang w:val="en-US" w:bidi="en-US"/>
    </w:rPr>
  </w:style>
  <w:style w:type="paragraph" w:customStyle="1" w:styleId="Heading31">
    <w:name w:val="Heading 31"/>
    <w:basedOn w:val="Heading51"/>
    <w:next w:val="Normal"/>
    <w:uiPriority w:val="9"/>
    <w:unhideWhenUsed/>
    <w:qFormat/>
    <w:rsid w:val="00FD46A2"/>
  </w:style>
  <w:style w:type="paragraph" w:customStyle="1" w:styleId="Heading41">
    <w:name w:val="Heading 41"/>
    <w:basedOn w:val="Normal"/>
    <w:next w:val="Normal"/>
    <w:uiPriority w:val="9"/>
    <w:unhideWhenUsed/>
    <w:qFormat/>
    <w:rsid w:val="00FD46A2"/>
    <w:pPr>
      <w:pBdr>
        <w:top w:val="dotted" w:sz="6" w:space="2" w:color="4F81BD"/>
        <w:left w:val="dotted" w:sz="6" w:space="2" w:color="4F81BD"/>
      </w:pBdr>
      <w:spacing w:before="300"/>
      <w:outlineLvl w:val="3"/>
    </w:pPr>
    <w:rPr>
      <w:rFonts w:ascii="Calibri" w:eastAsia="Times New Roman" w:hAnsi="Calibri" w:cs="Times New Roman"/>
      <w:caps/>
      <w:color w:val="365F91"/>
      <w:spacing w:val="10"/>
      <w:lang w:val="en-US" w:bidi="en-US"/>
    </w:rPr>
  </w:style>
  <w:style w:type="paragraph" w:customStyle="1" w:styleId="Heading61">
    <w:name w:val="Heading 61"/>
    <w:basedOn w:val="Normal"/>
    <w:next w:val="Normal"/>
    <w:uiPriority w:val="9"/>
    <w:semiHidden/>
    <w:unhideWhenUsed/>
    <w:qFormat/>
    <w:rsid w:val="00FD46A2"/>
    <w:pPr>
      <w:pBdr>
        <w:bottom w:val="dotted" w:sz="6" w:space="1" w:color="4F81BD"/>
      </w:pBdr>
      <w:spacing w:before="300"/>
      <w:outlineLvl w:val="5"/>
    </w:pPr>
    <w:rPr>
      <w:rFonts w:ascii="Calibri" w:eastAsia="Times New Roman" w:hAnsi="Calibri" w:cs="Times New Roman"/>
      <w:caps/>
      <w:color w:val="365F91"/>
      <w:spacing w:val="10"/>
      <w:lang w:val="en-US" w:bidi="en-US"/>
    </w:rPr>
  </w:style>
  <w:style w:type="paragraph" w:customStyle="1" w:styleId="Heading71">
    <w:name w:val="Heading 71"/>
    <w:basedOn w:val="Normal"/>
    <w:next w:val="Normal"/>
    <w:uiPriority w:val="9"/>
    <w:semiHidden/>
    <w:unhideWhenUsed/>
    <w:qFormat/>
    <w:rsid w:val="00FD46A2"/>
    <w:pPr>
      <w:spacing w:before="300"/>
      <w:outlineLvl w:val="6"/>
    </w:pPr>
    <w:rPr>
      <w:rFonts w:ascii="Calibri" w:eastAsia="Times New Roman" w:hAnsi="Calibri" w:cs="Times New Roman"/>
      <w:caps/>
      <w:color w:val="365F91"/>
      <w:spacing w:val="10"/>
      <w:lang w:val="en-US" w:bidi="en-US"/>
    </w:rPr>
  </w:style>
  <w:style w:type="numbering" w:customStyle="1" w:styleId="NoList1">
    <w:name w:val="No List1"/>
    <w:next w:val="NoList"/>
    <w:uiPriority w:val="99"/>
    <w:semiHidden/>
    <w:unhideWhenUsed/>
    <w:rsid w:val="00FD46A2"/>
  </w:style>
  <w:style w:type="paragraph" w:customStyle="1" w:styleId="Caption1">
    <w:name w:val="Caption1"/>
    <w:basedOn w:val="Normal"/>
    <w:next w:val="Normal"/>
    <w:uiPriority w:val="35"/>
    <w:semiHidden/>
    <w:unhideWhenUsed/>
    <w:qFormat/>
    <w:rsid w:val="00FD46A2"/>
    <w:pPr>
      <w:spacing w:before="200"/>
    </w:pPr>
    <w:rPr>
      <w:rFonts w:ascii="Calibri" w:eastAsia="Times New Roman" w:hAnsi="Calibri" w:cs="Times New Roman"/>
      <w:b/>
      <w:bCs/>
      <w:color w:val="365F91"/>
      <w:sz w:val="16"/>
      <w:szCs w:val="16"/>
      <w:lang w:val="en-US" w:bidi="en-US"/>
    </w:rPr>
  </w:style>
  <w:style w:type="paragraph" w:customStyle="1" w:styleId="Title1">
    <w:name w:val="Title1"/>
    <w:basedOn w:val="Normal"/>
    <w:next w:val="Normal"/>
    <w:uiPriority w:val="10"/>
    <w:qFormat/>
    <w:rsid w:val="00FD46A2"/>
    <w:pPr>
      <w:spacing w:before="720"/>
    </w:pPr>
    <w:rPr>
      <w:rFonts w:ascii="Calibri" w:eastAsia="Times New Roman" w:hAnsi="Calibri" w:cs="Times New Roman"/>
      <w:caps/>
      <w:color w:val="4F81BD"/>
      <w:spacing w:val="10"/>
      <w:kern w:val="28"/>
      <w:sz w:val="52"/>
      <w:szCs w:val="52"/>
      <w:lang w:val="en-US" w:bidi="en-US"/>
    </w:rPr>
  </w:style>
  <w:style w:type="paragraph" w:customStyle="1" w:styleId="Subtitle1">
    <w:name w:val="Subtitle1"/>
    <w:basedOn w:val="Normal"/>
    <w:next w:val="Normal"/>
    <w:uiPriority w:val="11"/>
    <w:qFormat/>
    <w:rsid w:val="00FD46A2"/>
    <w:pPr>
      <w:spacing w:before="200" w:after="1000" w:line="240" w:lineRule="auto"/>
    </w:pPr>
    <w:rPr>
      <w:rFonts w:ascii="Calibri" w:eastAsia="Times New Roman" w:hAnsi="Calibri" w:cs="Times New Roman"/>
      <w:caps/>
      <w:color w:val="595959"/>
      <w:spacing w:val="10"/>
      <w:sz w:val="24"/>
      <w:szCs w:val="24"/>
      <w:lang w:val="en-US" w:bidi="en-US"/>
    </w:rPr>
  </w:style>
  <w:style w:type="character" w:customStyle="1" w:styleId="Emphasis1">
    <w:name w:val="Emphasis1"/>
    <w:uiPriority w:val="20"/>
    <w:qFormat/>
    <w:rsid w:val="00FD46A2"/>
    <w:rPr>
      <w:caps/>
      <w:color w:val="243F60"/>
      <w:spacing w:val="5"/>
    </w:rPr>
  </w:style>
  <w:style w:type="paragraph" w:customStyle="1" w:styleId="IntenseQuote1">
    <w:name w:val="Intense Quote1"/>
    <w:basedOn w:val="Normal"/>
    <w:next w:val="Normal"/>
    <w:uiPriority w:val="30"/>
    <w:qFormat/>
    <w:rsid w:val="00FD46A2"/>
    <w:pPr>
      <w:pBdr>
        <w:top w:val="single" w:sz="4" w:space="10" w:color="4F81BD"/>
        <w:left w:val="single" w:sz="4" w:space="10" w:color="4F81BD"/>
      </w:pBdr>
      <w:spacing w:before="200"/>
      <w:ind w:left="1296" w:right="1152"/>
      <w:jc w:val="both"/>
    </w:pPr>
    <w:rPr>
      <w:rFonts w:ascii="Calibri" w:eastAsia="Times New Roman" w:hAnsi="Calibri" w:cs="Times New Roman"/>
      <w:i/>
      <w:iCs/>
      <w:color w:val="4F81BD"/>
      <w:sz w:val="20"/>
      <w:szCs w:val="20"/>
      <w:lang w:val="en-US" w:bidi="en-US"/>
    </w:rPr>
  </w:style>
  <w:style w:type="character" w:customStyle="1" w:styleId="SubtleEmphasis1">
    <w:name w:val="Subtle Emphasis1"/>
    <w:uiPriority w:val="19"/>
    <w:qFormat/>
    <w:rsid w:val="00FD46A2"/>
    <w:rPr>
      <w:i/>
      <w:iCs/>
      <w:color w:val="243F60"/>
    </w:rPr>
  </w:style>
  <w:style w:type="character" w:customStyle="1" w:styleId="IntenseEmphasis1">
    <w:name w:val="Intense Emphasis1"/>
    <w:uiPriority w:val="21"/>
    <w:qFormat/>
    <w:rsid w:val="00FD46A2"/>
    <w:rPr>
      <w:b/>
      <w:bCs/>
      <w:caps/>
      <w:color w:val="243F60"/>
      <w:spacing w:val="10"/>
    </w:rPr>
  </w:style>
  <w:style w:type="character" w:customStyle="1" w:styleId="SubtleReference1">
    <w:name w:val="Subtle Reference1"/>
    <w:uiPriority w:val="31"/>
    <w:qFormat/>
    <w:rsid w:val="00FD46A2"/>
    <w:rPr>
      <w:b/>
      <w:bCs/>
      <w:color w:val="4F81BD"/>
    </w:rPr>
  </w:style>
  <w:style w:type="character" w:customStyle="1" w:styleId="IntenseReference1">
    <w:name w:val="Intense Reference1"/>
    <w:uiPriority w:val="32"/>
    <w:qFormat/>
    <w:rsid w:val="00FD46A2"/>
    <w:rPr>
      <w:b/>
      <w:bCs/>
      <w:i/>
      <w:iCs/>
      <w:caps/>
      <w:color w:val="4F81BD"/>
    </w:rPr>
  </w:style>
  <w:style w:type="character" w:customStyle="1" w:styleId="Heading1Char1">
    <w:name w:val="Heading 1 Char1"/>
    <w:uiPriority w:val="9"/>
    <w:rsid w:val="00FD46A2"/>
    <w:rPr>
      <w:rFonts w:ascii="Cambria" w:eastAsia="Times New Roman" w:hAnsi="Cambria" w:cs="Times New Roman"/>
      <w:b/>
      <w:bCs/>
      <w:color w:val="365F91"/>
      <w:sz w:val="28"/>
      <w:szCs w:val="28"/>
      <w:lang w:bidi="en-US"/>
    </w:rPr>
  </w:style>
  <w:style w:type="paragraph" w:customStyle="1" w:styleId="normalbullet">
    <w:name w:val="normal bullet"/>
    <w:basedOn w:val="Normal"/>
    <w:link w:val="normalbulletChar"/>
    <w:qFormat/>
    <w:rsid w:val="00FD46A2"/>
    <w:pPr>
      <w:numPr>
        <w:numId w:val="14"/>
      </w:numPr>
      <w:spacing w:before="60" w:after="60" w:line="240" w:lineRule="auto"/>
    </w:pPr>
    <w:rPr>
      <w:rFonts w:ascii="Calibri" w:eastAsia="Times New Roman" w:hAnsi="Calibri" w:cs="Times New Roman"/>
      <w:sz w:val="20"/>
      <w:szCs w:val="20"/>
      <w:lang w:val="en-US" w:bidi="en-US"/>
    </w:rPr>
  </w:style>
  <w:style w:type="character" w:customStyle="1" w:styleId="normalbulletChar">
    <w:name w:val="normal bullet Char"/>
    <w:link w:val="normalbullet"/>
    <w:rsid w:val="00FD46A2"/>
    <w:rPr>
      <w:rFonts w:ascii="Calibri" w:eastAsia="Times New Roman" w:hAnsi="Calibri" w:cs="Times New Roman"/>
      <w:sz w:val="20"/>
      <w:szCs w:val="20"/>
      <w:lang w:val="en-US" w:bidi="en-US"/>
    </w:rPr>
  </w:style>
  <w:style w:type="paragraph" w:customStyle="1" w:styleId="Normalbullet0">
    <w:name w:val="Normal bullet"/>
    <w:basedOn w:val="Normal"/>
    <w:link w:val="NormalbulletChar0"/>
    <w:qFormat/>
    <w:rsid w:val="00FD46A2"/>
    <w:rPr>
      <w:rFonts w:ascii="Calibri" w:eastAsia="Times New Roman" w:hAnsi="Calibri" w:cs="Calibri"/>
      <w:bCs/>
      <w:lang w:val="en-US" w:bidi="en-US"/>
    </w:rPr>
  </w:style>
  <w:style w:type="character" w:customStyle="1" w:styleId="NormalbulletChar0">
    <w:name w:val="Normal bullet Char"/>
    <w:link w:val="Normalbullet0"/>
    <w:rsid w:val="00FD46A2"/>
    <w:rPr>
      <w:rFonts w:ascii="Calibri" w:eastAsia="Times New Roman" w:hAnsi="Calibri" w:cs="Calibri"/>
      <w:bCs/>
      <w:lang w:val="en-US" w:bidi="en-US"/>
    </w:rPr>
  </w:style>
  <w:style w:type="character" w:customStyle="1" w:styleId="FollowedHyperlink1">
    <w:name w:val="FollowedHyperlink1"/>
    <w:uiPriority w:val="99"/>
    <w:semiHidden/>
    <w:unhideWhenUsed/>
    <w:rsid w:val="00FD46A2"/>
    <w:rPr>
      <w:color w:val="800080"/>
      <w:u w:val="single"/>
    </w:rPr>
  </w:style>
  <w:style w:type="character" w:styleId="HTMLCite">
    <w:name w:val="HTML Cite"/>
    <w:uiPriority w:val="99"/>
    <w:unhideWhenUsed/>
    <w:rsid w:val="00FD46A2"/>
    <w:rPr>
      <w:i w:val="0"/>
      <w:iCs w:val="0"/>
      <w:color w:val="0E774A"/>
    </w:rPr>
  </w:style>
  <w:style w:type="paragraph" w:styleId="Revision">
    <w:name w:val="Revision"/>
    <w:hidden/>
    <w:uiPriority w:val="99"/>
    <w:semiHidden/>
    <w:rsid w:val="00FD46A2"/>
    <w:pPr>
      <w:spacing w:after="0" w:line="240" w:lineRule="auto"/>
    </w:pPr>
    <w:rPr>
      <w:rFonts w:ascii="Calibri" w:eastAsia="Times New Roman" w:hAnsi="Calibri" w:cs="Times New Roman"/>
      <w:sz w:val="20"/>
      <w:szCs w:val="20"/>
      <w:lang w:val="en-US" w:bidi="en-US"/>
    </w:rPr>
  </w:style>
  <w:style w:type="table" w:customStyle="1" w:styleId="LightList10">
    <w:name w:val="Light List1"/>
    <w:basedOn w:val="TableNormal"/>
    <w:uiPriority w:val="61"/>
    <w:rsid w:val="00FD46A2"/>
    <w:pPr>
      <w:spacing w:after="0" w:line="240" w:lineRule="auto"/>
    </w:pPr>
    <w:rPr>
      <w:rFonts w:ascii="Calibri" w:eastAsia="Times New Roman" w:hAnsi="Calibri" w:cs="Times New Roman"/>
      <w:lang w:eastAsia="en-GB"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LightList-Accent2"/>
    <w:uiPriority w:val="61"/>
    <w:rsid w:val="00FD46A2"/>
    <w:pPr>
      <w:spacing w:after="0" w:line="240" w:lineRule="auto"/>
    </w:pPr>
    <w:rPr>
      <w:rFonts w:ascii="Calibri" w:eastAsia="Times New Roman" w:hAnsi="Calibri" w:cs="Times New Roman"/>
      <w:lang w:eastAsia="en-GB"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FD46A2"/>
    <w:pPr>
      <w:spacing w:after="0" w:line="240" w:lineRule="auto"/>
    </w:pPr>
    <w:rPr>
      <w:rFonts w:ascii="Calibri" w:eastAsia="Times New Roman" w:hAnsi="Calibri" w:cs="Times New Roman"/>
      <w:lang w:eastAsia="en-GB" w:bidi="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FD46A2"/>
    <w:pPr>
      <w:spacing w:after="0" w:line="240" w:lineRule="auto"/>
    </w:pPr>
    <w:rPr>
      <w:rFonts w:ascii="Calibri" w:eastAsia="Times New Roman" w:hAnsi="Calibri" w:cs="Times New Roman"/>
      <w:color w:val="000000"/>
      <w:lang w:eastAsia="en-GB"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FD46A2"/>
    <w:pPr>
      <w:spacing w:after="0" w:line="240" w:lineRule="auto"/>
    </w:pPr>
    <w:rPr>
      <w:rFonts w:ascii="Calibri" w:eastAsia="Times New Roman" w:hAnsi="Calibri" w:cs="Times New Roman"/>
      <w:color w:val="000000"/>
      <w:lang w:eastAsia="en-GB" w:bidi="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FD46A2"/>
    <w:pPr>
      <w:spacing w:after="0" w:line="240" w:lineRule="auto"/>
    </w:pPr>
    <w:rPr>
      <w:rFonts w:ascii="Calibri" w:eastAsia="Times New Roman" w:hAnsi="Calibri" w:cs="Times New Roman"/>
      <w:color w:val="000000"/>
      <w:lang w:eastAsia="en-GB"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FD46A2"/>
    <w:pPr>
      <w:tabs>
        <w:tab w:val="left" w:pos="108"/>
      </w:tabs>
      <w:overflowPunct w:val="0"/>
      <w:autoSpaceDE w:val="0"/>
      <w:autoSpaceDN w:val="0"/>
      <w:adjustRightInd w:val="0"/>
      <w:spacing w:before="60" w:after="60" w:line="180" w:lineRule="exact"/>
      <w:ind w:left="187" w:right="72" w:hanging="115"/>
      <w:textAlignment w:val="baseline"/>
    </w:pPr>
    <w:rPr>
      <w:rFonts w:eastAsia="Times New Roman" w:cs="Times New Roman"/>
      <w:sz w:val="18"/>
      <w:szCs w:val="20"/>
      <w:lang w:val="fr-FR"/>
    </w:rPr>
  </w:style>
  <w:style w:type="paragraph" w:customStyle="1" w:styleId="Tableau-Texte">
    <w:name w:val="Tableau - Texte"/>
    <w:basedOn w:val="Normal"/>
    <w:rsid w:val="00FD46A2"/>
    <w:pPr>
      <w:overflowPunct w:val="0"/>
      <w:autoSpaceDE w:val="0"/>
      <w:autoSpaceDN w:val="0"/>
      <w:adjustRightInd w:val="0"/>
      <w:spacing w:before="60" w:after="60" w:line="180" w:lineRule="exact"/>
      <w:ind w:left="72" w:right="72"/>
      <w:textAlignment w:val="baseline"/>
    </w:pPr>
    <w:rPr>
      <w:rFonts w:eastAsia="Times New Roman" w:cs="Times New Roman"/>
      <w:sz w:val="18"/>
      <w:szCs w:val="20"/>
      <w:lang w:val="fr-FR"/>
    </w:rPr>
  </w:style>
  <w:style w:type="table" w:customStyle="1" w:styleId="MediumShading1-Accent11">
    <w:name w:val="Medium Shading 1 - Accent 11"/>
    <w:basedOn w:val="TableNormal"/>
    <w:uiPriority w:val="63"/>
    <w:rsid w:val="00FD46A2"/>
    <w:pPr>
      <w:spacing w:after="0" w:line="240" w:lineRule="auto"/>
    </w:pPr>
    <w:rPr>
      <w:rFonts w:ascii="Calibri" w:eastAsia="Times New Roman" w:hAnsi="Calibri" w:cs="Times New Roman"/>
      <w:lang w:eastAsia="en-GB"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uiPriority w:val="99"/>
    <w:semiHidden/>
    <w:rsid w:val="00FD46A2"/>
    <w:rPr>
      <w:color w:val="808080"/>
    </w:rPr>
  </w:style>
  <w:style w:type="character" w:customStyle="1" w:styleId="apple-style-span">
    <w:name w:val="apple-style-span"/>
    <w:basedOn w:val="DefaultParagraphFont"/>
    <w:rsid w:val="00FD46A2"/>
  </w:style>
  <w:style w:type="table" w:customStyle="1" w:styleId="LightShading1">
    <w:name w:val="Light Shading1"/>
    <w:basedOn w:val="TableNormal"/>
    <w:uiPriority w:val="60"/>
    <w:rsid w:val="00FD46A2"/>
    <w:pPr>
      <w:spacing w:after="0" w:line="240" w:lineRule="auto"/>
    </w:pPr>
    <w:rPr>
      <w:rFonts w:ascii="Calibri" w:eastAsia="Times New Roman" w:hAnsi="Calibri" w:cs="Times New Roman"/>
      <w:color w:val="000000"/>
      <w:lang w:eastAsia="en-GB"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unhideWhenUsed/>
    <w:rsid w:val="00FD46A2"/>
    <w:pPr>
      <w:spacing w:line="240" w:lineRule="auto"/>
    </w:pPr>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rsid w:val="00FD46A2"/>
    <w:rPr>
      <w:rFonts w:ascii="Tahoma" w:eastAsia="Times New Roman" w:hAnsi="Tahoma" w:cs="Tahoma"/>
      <w:sz w:val="16"/>
      <w:szCs w:val="16"/>
      <w:lang w:val="en-US" w:bidi="en-US"/>
    </w:rPr>
  </w:style>
  <w:style w:type="character" w:customStyle="1" w:styleId="Heading2Char1">
    <w:name w:val="Heading 2 Char1"/>
    <w:uiPriority w:val="9"/>
    <w:semiHidden/>
    <w:rsid w:val="00FD46A2"/>
    <w:rPr>
      <w:rFonts w:ascii="Cambria" w:eastAsia="Times New Roman" w:hAnsi="Cambria" w:cs="Times New Roman"/>
      <w:b/>
      <w:bCs/>
      <w:color w:val="4F81BD"/>
      <w:sz w:val="26"/>
      <w:szCs w:val="26"/>
    </w:rPr>
  </w:style>
  <w:style w:type="character" w:customStyle="1" w:styleId="Heading3Char1">
    <w:name w:val="Heading 3 Char1"/>
    <w:uiPriority w:val="9"/>
    <w:semiHidden/>
    <w:rsid w:val="00FD46A2"/>
    <w:rPr>
      <w:rFonts w:ascii="Cambria" w:eastAsia="Times New Roman" w:hAnsi="Cambria" w:cs="Times New Roman"/>
      <w:b/>
      <w:bCs/>
      <w:color w:val="4F81BD"/>
    </w:rPr>
  </w:style>
  <w:style w:type="character" w:customStyle="1" w:styleId="Heading4Char1">
    <w:name w:val="Heading 4 Char1"/>
    <w:uiPriority w:val="9"/>
    <w:semiHidden/>
    <w:rsid w:val="00FD46A2"/>
    <w:rPr>
      <w:rFonts w:ascii="Cambria" w:eastAsia="Times New Roman" w:hAnsi="Cambria" w:cs="Times New Roman"/>
      <w:b/>
      <w:bCs/>
      <w:i/>
      <w:iCs/>
      <w:color w:val="4F81BD"/>
    </w:rPr>
  </w:style>
  <w:style w:type="character" w:customStyle="1" w:styleId="Heading5Char1">
    <w:name w:val="Heading 5 Char1"/>
    <w:uiPriority w:val="9"/>
    <w:semiHidden/>
    <w:rsid w:val="00FD46A2"/>
    <w:rPr>
      <w:rFonts w:ascii="Cambria" w:eastAsia="Times New Roman" w:hAnsi="Cambria" w:cs="Times New Roman"/>
      <w:color w:val="243F60"/>
    </w:rPr>
  </w:style>
  <w:style w:type="character" w:customStyle="1" w:styleId="Heading6Char1">
    <w:name w:val="Heading 6 Char1"/>
    <w:uiPriority w:val="9"/>
    <w:semiHidden/>
    <w:rsid w:val="00FD46A2"/>
    <w:rPr>
      <w:rFonts w:ascii="Cambria" w:eastAsia="Times New Roman" w:hAnsi="Cambria" w:cs="Times New Roman"/>
      <w:i/>
      <w:iCs/>
      <w:color w:val="243F60"/>
    </w:rPr>
  </w:style>
  <w:style w:type="character" w:customStyle="1" w:styleId="Heading7Char1">
    <w:name w:val="Heading 7 Char1"/>
    <w:uiPriority w:val="9"/>
    <w:semiHidden/>
    <w:rsid w:val="00FD46A2"/>
    <w:rPr>
      <w:rFonts w:ascii="Cambria" w:eastAsia="Times New Roman" w:hAnsi="Cambria" w:cs="Times New Roman"/>
      <w:i/>
      <w:iCs/>
      <w:color w:val="404040"/>
    </w:rPr>
  </w:style>
  <w:style w:type="character" w:customStyle="1" w:styleId="TitleChar1">
    <w:name w:val="Title Char1"/>
    <w:uiPriority w:val="10"/>
    <w:rsid w:val="00FD46A2"/>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FD46A2"/>
    <w:rPr>
      <w:rFonts w:ascii="Cambria" w:eastAsia="Times New Roman" w:hAnsi="Cambria" w:cs="Times New Roman"/>
      <w:sz w:val="24"/>
      <w:szCs w:val="24"/>
    </w:rPr>
  </w:style>
  <w:style w:type="character" w:customStyle="1" w:styleId="IntenseQuoteChar1">
    <w:name w:val="Intense Quote Char1"/>
    <w:uiPriority w:val="30"/>
    <w:rsid w:val="00FD46A2"/>
    <w:rPr>
      <w:b/>
      <w:bCs/>
      <w:i/>
      <w:iCs/>
      <w:color w:val="4F81BD"/>
      <w:sz w:val="24"/>
      <w:szCs w:val="24"/>
    </w:rPr>
  </w:style>
  <w:style w:type="table" w:styleId="ColorfulGrid-Accent5">
    <w:name w:val="Colorful Grid Accent 5"/>
    <w:basedOn w:val="TableNormal"/>
    <w:uiPriority w:val="73"/>
    <w:rsid w:val="00FD46A2"/>
    <w:pPr>
      <w:spacing w:after="0" w:line="240" w:lineRule="auto"/>
    </w:pPr>
    <w:rPr>
      <w:rFonts w:ascii="Calibri" w:eastAsia="Calibri" w:hAnsi="Calibri" w:cs="Times New Roman"/>
      <w:color w:val="000000"/>
      <w:lang w:eastAsia="en-GB"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FD46A2"/>
    <w:pPr>
      <w:spacing w:after="0" w:line="240" w:lineRule="auto"/>
    </w:pPr>
    <w:rPr>
      <w:rFonts w:ascii="Calibri" w:eastAsia="Calibri" w:hAnsi="Calibri" w:cs="Times New Roman"/>
      <w:color w:val="000000"/>
      <w:lang w:eastAsia="en-GB"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ParaCharChar">
    <w:name w:val="Para Char Char"/>
    <w:basedOn w:val="Normal"/>
    <w:link w:val="ParaCharCharChar"/>
    <w:autoRedefine/>
    <w:rsid w:val="00A0462F"/>
    <w:pPr>
      <w:numPr>
        <w:numId w:val="23"/>
      </w:numPr>
      <w:spacing w:line="240" w:lineRule="auto"/>
      <w:ind w:right="-6"/>
      <w:jc w:val="both"/>
    </w:pPr>
    <w:rPr>
      <w:rFonts w:eastAsia="Arial Unicode MS" w:cs="Times New Roman"/>
      <w:iCs/>
      <w:noProof/>
      <w:lang w:val="en-US"/>
    </w:rPr>
  </w:style>
  <w:style w:type="paragraph" w:customStyle="1" w:styleId="FreeForm">
    <w:name w:val="Free Form"/>
    <w:rsid w:val="00F56B3E"/>
    <w:pPr>
      <w:spacing w:after="0" w:line="240" w:lineRule="auto"/>
    </w:pPr>
    <w:rPr>
      <w:rFonts w:ascii="Helvetica" w:eastAsia="ヒラギノ角ゴ Pro W3" w:hAnsi="Helvetica" w:cs="Times New Roman"/>
      <w:color w:val="000000"/>
      <w:sz w:val="24"/>
      <w:szCs w:val="20"/>
      <w:lang w:val="en-US"/>
    </w:rPr>
  </w:style>
  <w:style w:type="character" w:customStyle="1" w:styleId="ParaCharCharChar">
    <w:name w:val="Para Char Char Char"/>
    <w:link w:val="ParaCharChar"/>
    <w:locked/>
    <w:rsid w:val="00F56B3E"/>
    <w:rPr>
      <w:rFonts w:ascii="Times New Roman" w:eastAsia="Arial Unicode MS" w:hAnsi="Times New Roman" w:cs="Times New Roman"/>
      <w:iCs/>
      <w:noProof/>
      <w:lang w:val="en-US"/>
    </w:rPr>
  </w:style>
  <w:style w:type="character" w:customStyle="1" w:styleId="Schedule">
    <w:name w:val="Schedule"/>
    <w:rsid w:val="00D8473D"/>
    <w:rPr>
      <w:rFonts w:ascii="Tahoma" w:hAnsi="Tahoma"/>
      <w:color w:val="000000"/>
    </w:rPr>
  </w:style>
  <w:style w:type="character" w:customStyle="1" w:styleId="Presentation">
    <w:name w:val="Presentation"/>
    <w:rsid w:val="00D8473D"/>
    <w:rPr>
      <w:rFonts w:ascii="Tahoma" w:hAnsi="Tahoma"/>
      <w:b/>
      <w:bCs/>
      <w:color w:val="000000"/>
    </w:rPr>
  </w:style>
  <w:style w:type="table" w:customStyle="1" w:styleId="TableGrid1">
    <w:name w:val="Table Grid1"/>
    <w:basedOn w:val="TableNormal"/>
    <w:next w:val="TableGrid"/>
    <w:rsid w:val="008221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F5"/>
    <w:pPr>
      <w:spacing w:after="0" w:line="264" w:lineRule="auto"/>
    </w:pPr>
    <w:rPr>
      <w:rFonts w:ascii="Times New Roman" w:hAnsi="Times New Roman"/>
    </w:rPr>
  </w:style>
  <w:style w:type="paragraph" w:styleId="Heading1">
    <w:name w:val="heading 1"/>
    <w:basedOn w:val="Normal"/>
    <w:next w:val="Normal"/>
    <w:link w:val="Heading1Char"/>
    <w:uiPriority w:val="9"/>
    <w:qFormat/>
    <w:rsid w:val="002A3EEE"/>
    <w:pPr>
      <w:numPr>
        <w:numId w:val="2"/>
      </w:numPr>
      <w:spacing w:before="240"/>
      <w:contextualSpacing/>
      <w:outlineLvl w:val="0"/>
    </w:pPr>
    <w:rPr>
      <w:b/>
      <w:spacing w:val="5"/>
      <w:sz w:val="28"/>
      <w:szCs w:val="36"/>
    </w:rPr>
  </w:style>
  <w:style w:type="paragraph" w:styleId="Heading2">
    <w:name w:val="heading 2"/>
    <w:basedOn w:val="Normal"/>
    <w:next w:val="Normal"/>
    <w:link w:val="Heading2Char"/>
    <w:uiPriority w:val="9"/>
    <w:unhideWhenUsed/>
    <w:qFormat/>
    <w:rsid w:val="00643FB7"/>
    <w:pPr>
      <w:numPr>
        <w:ilvl w:val="1"/>
        <w:numId w:val="2"/>
      </w:numPr>
      <w:spacing w:before="200" w:after="120" w:line="271" w:lineRule="auto"/>
      <w:outlineLvl w:val="1"/>
    </w:pPr>
    <w:rPr>
      <w:rFonts w:cs="Times New Roman"/>
      <w:b/>
      <w:sz w:val="24"/>
      <w:szCs w:val="28"/>
    </w:rPr>
  </w:style>
  <w:style w:type="paragraph" w:styleId="Heading3">
    <w:name w:val="heading 3"/>
    <w:basedOn w:val="Normal"/>
    <w:next w:val="Normal"/>
    <w:link w:val="Heading3Char"/>
    <w:uiPriority w:val="9"/>
    <w:unhideWhenUsed/>
    <w:qFormat/>
    <w:rsid w:val="002D4972"/>
    <w:pPr>
      <w:numPr>
        <w:ilvl w:val="2"/>
        <w:numId w:val="2"/>
      </w:numPr>
      <w:spacing w:before="120" w:line="271" w:lineRule="auto"/>
      <w:outlineLvl w:val="2"/>
    </w:pPr>
    <w:rPr>
      <w:rFonts w:ascii="Times New Roman Bold" w:hAnsi="Times New Roman Bold" w:cs="Times New Roman"/>
      <w:b/>
      <w:iCs/>
      <w:szCs w:val="26"/>
    </w:rPr>
  </w:style>
  <w:style w:type="paragraph" w:styleId="Heading4">
    <w:name w:val="heading 4"/>
    <w:basedOn w:val="Normal"/>
    <w:next w:val="Normal"/>
    <w:link w:val="Heading4Char"/>
    <w:uiPriority w:val="9"/>
    <w:unhideWhenUsed/>
    <w:qFormat/>
    <w:rsid w:val="00D04502"/>
    <w:pPr>
      <w:spacing w:before="60" w:after="60"/>
      <w:outlineLvl w:val="3"/>
    </w:pPr>
    <w:rPr>
      <w:b/>
      <w:bCs/>
      <w:spacing w:val="5"/>
      <w:szCs w:val="24"/>
    </w:rPr>
  </w:style>
  <w:style w:type="paragraph" w:styleId="Heading5">
    <w:name w:val="heading 5"/>
    <w:basedOn w:val="Normal"/>
    <w:next w:val="Normal"/>
    <w:link w:val="Heading5Char"/>
    <w:uiPriority w:val="9"/>
    <w:unhideWhenUsed/>
    <w:qFormat/>
    <w:rsid w:val="008A2AC2"/>
    <w:pPr>
      <w:spacing w:before="120"/>
      <w:outlineLvl w:val="4"/>
    </w:pPr>
    <w:rPr>
      <w:b/>
      <w:i/>
      <w:iCs/>
      <w:szCs w:val="24"/>
    </w:rPr>
  </w:style>
  <w:style w:type="paragraph" w:styleId="Heading6">
    <w:name w:val="heading 6"/>
    <w:basedOn w:val="Normal"/>
    <w:next w:val="Normal"/>
    <w:link w:val="Heading6Char"/>
    <w:uiPriority w:val="9"/>
    <w:unhideWhenUsed/>
    <w:qFormat/>
    <w:rsid w:val="001E662A"/>
    <w:pPr>
      <w:shd w:val="clear" w:color="auto" w:fill="FFFFFF" w:themeFill="background1"/>
      <w:spacing w:before="60" w:after="60"/>
      <w:outlineLvl w:val="5"/>
    </w:pPr>
    <w:rPr>
      <w:rFonts w:ascii="Times New Roman Bold" w:hAnsi="Times New Roman Bold"/>
      <w:b/>
      <w:bCs/>
    </w:rPr>
  </w:style>
  <w:style w:type="paragraph" w:styleId="Heading7">
    <w:name w:val="heading 7"/>
    <w:basedOn w:val="Normal"/>
    <w:next w:val="Normal"/>
    <w:link w:val="Heading7Char"/>
    <w:uiPriority w:val="9"/>
    <w:semiHidden/>
    <w:unhideWhenUsed/>
    <w:qFormat/>
    <w:rsid w:val="00321FCF"/>
    <w:pPr>
      <w:numPr>
        <w:ilvl w:val="6"/>
        <w:numId w:val="2"/>
      </w:numPr>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321FCF"/>
    <w:pPr>
      <w:numPr>
        <w:ilvl w:val="7"/>
        <w:numId w:val="2"/>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21FCF"/>
    <w:pPr>
      <w:spacing w:line="271" w:lineRule="auto"/>
      <w:ind w:left="1584" w:hanging="1584"/>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EEE"/>
    <w:rPr>
      <w:rFonts w:ascii="Times New Roman" w:hAnsi="Times New Roman"/>
      <w:b/>
      <w:spacing w:val="5"/>
      <w:sz w:val="28"/>
      <w:szCs w:val="36"/>
    </w:rPr>
  </w:style>
  <w:style w:type="character" w:customStyle="1" w:styleId="Heading2Char">
    <w:name w:val="Heading 2 Char"/>
    <w:basedOn w:val="DefaultParagraphFont"/>
    <w:link w:val="Heading2"/>
    <w:uiPriority w:val="9"/>
    <w:rsid w:val="00643FB7"/>
    <w:rPr>
      <w:rFonts w:ascii="Times New Roman" w:hAnsi="Times New Roman" w:cs="Times New Roman"/>
      <w:b/>
      <w:sz w:val="24"/>
      <w:szCs w:val="28"/>
    </w:rPr>
  </w:style>
  <w:style w:type="character" w:customStyle="1" w:styleId="Heading3Char">
    <w:name w:val="Heading 3 Char"/>
    <w:basedOn w:val="DefaultParagraphFont"/>
    <w:link w:val="Heading3"/>
    <w:uiPriority w:val="9"/>
    <w:rsid w:val="002D4972"/>
    <w:rPr>
      <w:rFonts w:ascii="Times New Roman Bold" w:hAnsi="Times New Roman Bold" w:cs="Times New Roman"/>
      <w:b/>
      <w:iCs/>
      <w:szCs w:val="26"/>
    </w:rPr>
  </w:style>
  <w:style w:type="character" w:customStyle="1" w:styleId="Heading4Char">
    <w:name w:val="Heading 4 Char"/>
    <w:basedOn w:val="DefaultParagraphFont"/>
    <w:link w:val="Heading4"/>
    <w:uiPriority w:val="9"/>
    <w:rsid w:val="00D04502"/>
    <w:rPr>
      <w:rFonts w:ascii="Times New Roman" w:hAnsi="Times New Roman"/>
      <w:b/>
      <w:bCs/>
      <w:spacing w:val="5"/>
      <w:szCs w:val="24"/>
    </w:rPr>
  </w:style>
  <w:style w:type="character" w:customStyle="1" w:styleId="Heading5Char">
    <w:name w:val="Heading 5 Char"/>
    <w:basedOn w:val="DefaultParagraphFont"/>
    <w:link w:val="Heading5"/>
    <w:uiPriority w:val="9"/>
    <w:rsid w:val="008A2AC2"/>
    <w:rPr>
      <w:rFonts w:ascii="Times New Roman" w:hAnsi="Times New Roman"/>
      <w:b/>
      <w:i/>
      <w:iCs/>
      <w:szCs w:val="24"/>
    </w:rPr>
  </w:style>
  <w:style w:type="character" w:customStyle="1" w:styleId="Heading6Char">
    <w:name w:val="Heading 6 Char"/>
    <w:basedOn w:val="DefaultParagraphFont"/>
    <w:link w:val="Heading6"/>
    <w:uiPriority w:val="9"/>
    <w:rsid w:val="001E662A"/>
    <w:rPr>
      <w:rFonts w:ascii="Times New Roman Bold" w:hAnsi="Times New Roman Bold"/>
      <w:b/>
      <w:bCs/>
      <w:shd w:val="clear" w:color="auto" w:fill="FFFFFF" w:themeFill="background1"/>
    </w:rPr>
  </w:style>
  <w:style w:type="character" w:customStyle="1" w:styleId="Heading7Char">
    <w:name w:val="Heading 7 Char"/>
    <w:basedOn w:val="DefaultParagraphFont"/>
    <w:link w:val="Heading7"/>
    <w:uiPriority w:val="9"/>
    <w:semiHidden/>
    <w:rsid w:val="00321FCF"/>
    <w:rPr>
      <w:rFonts w:ascii="Times New Roman" w:hAnsi="Times New Roman"/>
      <w:b/>
      <w:bCs/>
      <w:i/>
      <w:iCs/>
      <w:color w:val="5A5A5A" w:themeColor="text1" w:themeTint="A5"/>
      <w:sz w:val="20"/>
      <w:szCs w:val="20"/>
    </w:rPr>
  </w:style>
  <w:style w:type="character" w:customStyle="1" w:styleId="Heading8Char">
    <w:name w:val="Heading 8 Char"/>
    <w:basedOn w:val="DefaultParagraphFont"/>
    <w:link w:val="Heading8"/>
    <w:uiPriority w:val="9"/>
    <w:rsid w:val="00321FCF"/>
    <w:rPr>
      <w:rFonts w:ascii="Times New Roman" w:hAnsi="Times New Roman"/>
      <w:b/>
      <w:bCs/>
      <w:color w:val="7F7F7F" w:themeColor="text1" w:themeTint="80"/>
      <w:sz w:val="20"/>
      <w:szCs w:val="20"/>
    </w:rPr>
  </w:style>
  <w:style w:type="character" w:customStyle="1" w:styleId="Heading9Char">
    <w:name w:val="Heading 9 Char"/>
    <w:basedOn w:val="DefaultParagraphFont"/>
    <w:link w:val="Heading9"/>
    <w:uiPriority w:val="9"/>
    <w:semiHidden/>
    <w:rsid w:val="00321FCF"/>
    <w:rPr>
      <w:rFonts w:ascii="Times New Roman" w:hAnsi="Times New Roman"/>
      <w:b/>
      <w:bCs/>
      <w:i/>
      <w:iCs/>
      <w:color w:val="7F7F7F" w:themeColor="text1" w:themeTint="80"/>
      <w:sz w:val="18"/>
      <w:szCs w:val="18"/>
    </w:rPr>
  </w:style>
  <w:style w:type="table" w:styleId="TableGrid">
    <w:name w:val="Table Grid"/>
    <w:basedOn w:val="TableNormal"/>
    <w:uiPriority w:val="59"/>
    <w:rsid w:val="00086A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Map Char,Map,Caption (table),Caption (tab"/>
    <w:basedOn w:val="Normal"/>
    <w:next w:val="Normal"/>
    <w:uiPriority w:val="35"/>
    <w:unhideWhenUsed/>
    <w:qFormat/>
    <w:rsid w:val="00A00721"/>
    <w:pPr>
      <w:spacing w:before="60" w:after="20"/>
      <w:jc w:val="center"/>
    </w:pPr>
    <w:rPr>
      <w:rFonts w:eastAsiaTheme="minorEastAsia"/>
      <w:bCs/>
      <w:sz w:val="20"/>
      <w:szCs w:val="20"/>
      <w:lang w:bidi="hi-IN"/>
    </w:rPr>
  </w:style>
  <w:style w:type="table" w:customStyle="1" w:styleId="LightList-Accent11">
    <w:name w:val="Light List - Accent 11"/>
    <w:basedOn w:val="TableNormal"/>
    <w:uiPriority w:val="61"/>
    <w:rsid w:val="00983EF3"/>
    <w:pPr>
      <w:spacing w:before="20" w:after="20" w:line="240" w:lineRule="auto"/>
    </w:pPr>
    <w:rPr>
      <w:rFonts w:ascii="Calibri" w:hAnsi="Calibri"/>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3">
    <w:name w:val="toc 3"/>
    <w:basedOn w:val="Normal"/>
    <w:next w:val="Normal"/>
    <w:uiPriority w:val="39"/>
    <w:rsid w:val="00F73F2C"/>
    <w:pPr>
      <w:spacing w:before="60" w:after="60" w:line="240" w:lineRule="auto"/>
      <w:ind w:left="448"/>
    </w:pPr>
    <w:rPr>
      <w:lang w:eastAsia="en-GB"/>
    </w:rPr>
  </w:style>
  <w:style w:type="character" w:customStyle="1" w:styleId="FootnoteCharacters">
    <w:name w:val="Footnote Characters"/>
    <w:rsid w:val="00C541C4"/>
    <w:rPr>
      <w:vertAlign w:val="superscript"/>
    </w:rPr>
  </w:style>
  <w:style w:type="paragraph" w:styleId="BodyText">
    <w:name w:val="Body Text"/>
    <w:basedOn w:val="Normal"/>
    <w:link w:val="BodyTextChar"/>
    <w:rsid w:val="00C541C4"/>
    <w:pPr>
      <w:jc w:val="both"/>
    </w:pPr>
    <w:rPr>
      <w:sz w:val="24"/>
    </w:rPr>
  </w:style>
  <w:style w:type="character" w:customStyle="1" w:styleId="BodyTextChar">
    <w:name w:val="Body Text Char"/>
    <w:basedOn w:val="DefaultParagraphFont"/>
    <w:link w:val="BodyText"/>
    <w:rsid w:val="00C541C4"/>
    <w:rPr>
      <w:rFonts w:ascii="Times New Roman" w:eastAsia="Times New Roman" w:hAnsi="Times New Roman" w:cs="Times New Roman"/>
      <w:sz w:val="24"/>
      <w:szCs w:val="20"/>
      <w:lang w:val="en-US" w:eastAsia="ar-SA"/>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t"/>
    <w:basedOn w:val="Normal"/>
    <w:link w:val="FootnoteTextChar"/>
    <w:rsid w:val="00C541C4"/>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t Char"/>
    <w:basedOn w:val="DefaultParagraphFont"/>
    <w:link w:val="FootnoteText"/>
    <w:rsid w:val="00C541C4"/>
    <w:rPr>
      <w:rFonts w:ascii="Times New Roman" w:eastAsia="Times New Roman" w:hAnsi="Times New Roman" w:cs="Times New Roman"/>
      <w:sz w:val="20"/>
      <w:szCs w:val="20"/>
      <w:lang w:val="en-US" w:eastAsia="ar-SA"/>
    </w:rPr>
  </w:style>
  <w:style w:type="paragraph" w:styleId="Subtitle">
    <w:name w:val="Subtitle"/>
    <w:basedOn w:val="Normal"/>
    <w:next w:val="Normal"/>
    <w:link w:val="SubtitleChar"/>
    <w:uiPriority w:val="11"/>
    <w:qFormat/>
    <w:rsid w:val="00321FCF"/>
    <w:rPr>
      <w:i/>
      <w:iCs/>
      <w:smallCaps/>
      <w:spacing w:val="10"/>
      <w:sz w:val="28"/>
      <w:szCs w:val="28"/>
    </w:rPr>
  </w:style>
  <w:style w:type="character" w:customStyle="1" w:styleId="SubtitleChar">
    <w:name w:val="Subtitle Char"/>
    <w:basedOn w:val="DefaultParagraphFont"/>
    <w:link w:val="Subtitle"/>
    <w:uiPriority w:val="11"/>
    <w:rsid w:val="00321FCF"/>
    <w:rPr>
      <w:i/>
      <w:iCs/>
      <w:smallCaps/>
      <w:spacing w:val="10"/>
      <w:sz w:val="28"/>
      <w:szCs w:val="28"/>
    </w:rPr>
  </w:style>
  <w:style w:type="paragraph" w:styleId="ListBullet2">
    <w:name w:val="List Bullet 2"/>
    <w:basedOn w:val="Normal"/>
    <w:link w:val="ListBullet2Char"/>
    <w:rsid w:val="00ED7E23"/>
    <w:pPr>
      <w:tabs>
        <w:tab w:val="num" w:pos="1080"/>
      </w:tabs>
      <w:spacing w:before="60" w:after="60"/>
      <w:ind w:left="-357"/>
      <w:jc w:val="both"/>
    </w:pPr>
    <w:rPr>
      <w:bCs/>
      <w:szCs w:val="24"/>
    </w:rPr>
  </w:style>
  <w:style w:type="character" w:customStyle="1" w:styleId="ListBullet2Char">
    <w:name w:val="List Bullet 2 Char"/>
    <w:basedOn w:val="DefaultParagraphFont"/>
    <w:link w:val="ListBullet2"/>
    <w:rsid w:val="00D9207E"/>
    <w:rPr>
      <w:rFonts w:ascii="Times New Roman" w:hAnsi="Times New Roman"/>
      <w:bCs/>
      <w:szCs w:val="24"/>
    </w:rPr>
  </w:style>
  <w:style w:type="paragraph" w:styleId="BodyTextIndent2">
    <w:name w:val="Body Text Indent 2"/>
    <w:basedOn w:val="Normal"/>
    <w:link w:val="BodyTextIndent2Char"/>
    <w:rsid w:val="00C541C4"/>
    <w:pPr>
      <w:spacing w:after="120" w:line="480" w:lineRule="auto"/>
      <w:ind w:left="283"/>
    </w:pPr>
  </w:style>
  <w:style w:type="character" w:customStyle="1" w:styleId="BodyTextIndent2Char">
    <w:name w:val="Body Text Indent 2 Char"/>
    <w:basedOn w:val="DefaultParagraphFont"/>
    <w:link w:val="BodyTextIndent2"/>
    <w:rsid w:val="00C541C4"/>
    <w:rPr>
      <w:rFonts w:ascii="Times New Roman" w:eastAsia="Times New Roman" w:hAnsi="Times New Roman" w:cs="Times New Roman"/>
      <w:sz w:val="20"/>
      <w:szCs w:val="20"/>
      <w:lang w:val="en-US" w:eastAsia="ar-SA"/>
    </w:rPr>
  </w:style>
  <w:style w:type="paragraph" w:styleId="Title">
    <w:name w:val="Title"/>
    <w:basedOn w:val="Normal"/>
    <w:next w:val="Normal"/>
    <w:link w:val="TitleChar"/>
    <w:uiPriority w:val="10"/>
    <w:qFormat/>
    <w:rsid w:val="00321FC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21FCF"/>
    <w:rPr>
      <w:smallCaps/>
      <w:sz w:val="52"/>
      <w:szCs w:val="52"/>
    </w:rPr>
  </w:style>
  <w:style w:type="character" w:styleId="Strong">
    <w:name w:val="Strong"/>
    <w:uiPriority w:val="22"/>
    <w:qFormat/>
    <w:rsid w:val="00321FCF"/>
    <w:rPr>
      <w:b/>
      <w:bCs/>
    </w:rPr>
  </w:style>
  <w:style w:type="character" w:styleId="Emphasis">
    <w:name w:val="Emphasis"/>
    <w:uiPriority w:val="20"/>
    <w:qFormat/>
    <w:rsid w:val="00321FCF"/>
    <w:rPr>
      <w:b/>
      <w:bCs/>
      <w:i/>
      <w:iCs/>
      <w:spacing w:val="10"/>
    </w:rPr>
  </w:style>
  <w:style w:type="paragraph" w:styleId="NoSpacing">
    <w:name w:val="No Spacing"/>
    <w:basedOn w:val="Normal"/>
    <w:link w:val="NoSpacingChar"/>
    <w:uiPriority w:val="1"/>
    <w:qFormat/>
    <w:rsid w:val="00321FCF"/>
    <w:pPr>
      <w:spacing w:line="240" w:lineRule="auto"/>
    </w:pPr>
  </w:style>
  <w:style w:type="character" w:customStyle="1" w:styleId="NoSpacingChar">
    <w:name w:val="No Spacing Char"/>
    <w:basedOn w:val="DefaultParagraphFont"/>
    <w:link w:val="NoSpacing"/>
    <w:uiPriority w:val="1"/>
    <w:rsid w:val="00321FCF"/>
  </w:style>
  <w:style w:type="paragraph" w:styleId="ListParagraph">
    <w:name w:val="List Paragraph"/>
    <w:basedOn w:val="Normal"/>
    <w:link w:val="ListParagraphChar"/>
    <w:uiPriority w:val="34"/>
    <w:qFormat/>
    <w:rsid w:val="00ED7E23"/>
    <w:pPr>
      <w:spacing w:before="60" w:after="60"/>
      <w:ind w:left="720"/>
    </w:pPr>
  </w:style>
  <w:style w:type="character" w:customStyle="1" w:styleId="ListParagraphChar">
    <w:name w:val="List Paragraph Char"/>
    <w:basedOn w:val="DefaultParagraphFont"/>
    <w:link w:val="ListParagraph"/>
    <w:uiPriority w:val="34"/>
    <w:rsid w:val="00ED7E23"/>
    <w:rPr>
      <w:rFonts w:ascii="Times New Roman" w:hAnsi="Times New Roman"/>
    </w:rPr>
  </w:style>
  <w:style w:type="paragraph" w:styleId="Quote">
    <w:name w:val="Quote"/>
    <w:basedOn w:val="Normal"/>
    <w:next w:val="Normal"/>
    <w:link w:val="QuoteChar"/>
    <w:uiPriority w:val="29"/>
    <w:qFormat/>
    <w:rsid w:val="00321FCF"/>
    <w:rPr>
      <w:i/>
      <w:iCs/>
    </w:rPr>
  </w:style>
  <w:style w:type="character" w:customStyle="1" w:styleId="QuoteChar">
    <w:name w:val="Quote Char"/>
    <w:basedOn w:val="DefaultParagraphFont"/>
    <w:link w:val="Quote"/>
    <w:uiPriority w:val="29"/>
    <w:rsid w:val="00321FCF"/>
    <w:rPr>
      <w:i/>
      <w:iCs/>
    </w:rPr>
  </w:style>
  <w:style w:type="paragraph" w:styleId="IntenseQuote">
    <w:name w:val="Intense Quote"/>
    <w:basedOn w:val="Normal"/>
    <w:next w:val="Normal"/>
    <w:link w:val="IntenseQuoteChar"/>
    <w:uiPriority w:val="30"/>
    <w:qFormat/>
    <w:rsid w:val="00321FC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21FCF"/>
    <w:rPr>
      <w:i/>
      <w:iCs/>
    </w:rPr>
  </w:style>
  <w:style w:type="character" w:styleId="SubtleEmphasis">
    <w:name w:val="Subtle Emphasis"/>
    <w:uiPriority w:val="19"/>
    <w:qFormat/>
    <w:rsid w:val="00321FCF"/>
    <w:rPr>
      <w:i/>
      <w:iCs/>
    </w:rPr>
  </w:style>
  <w:style w:type="character" w:styleId="IntenseEmphasis">
    <w:name w:val="Intense Emphasis"/>
    <w:uiPriority w:val="21"/>
    <w:qFormat/>
    <w:rsid w:val="00321FCF"/>
    <w:rPr>
      <w:b/>
      <w:bCs/>
      <w:i/>
      <w:iCs/>
    </w:rPr>
  </w:style>
  <w:style w:type="character" w:styleId="SubtleReference">
    <w:name w:val="Subtle Reference"/>
    <w:basedOn w:val="DefaultParagraphFont"/>
    <w:uiPriority w:val="31"/>
    <w:qFormat/>
    <w:rsid w:val="00321FCF"/>
    <w:rPr>
      <w:smallCaps/>
    </w:rPr>
  </w:style>
  <w:style w:type="character" w:styleId="IntenseReference">
    <w:name w:val="Intense Reference"/>
    <w:uiPriority w:val="32"/>
    <w:qFormat/>
    <w:rsid w:val="00321FCF"/>
    <w:rPr>
      <w:b/>
      <w:bCs/>
      <w:smallCaps/>
    </w:rPr>
  </w:style>
  <w:style w:type="character" w:styleId="BookTitle">
    <w:name w:val="Book Title"/>
    <w:basedOn w:val="DefaultParagraphFont"/>
    <w:uiPriority w:val="33"/>
    <w:qFormat/>
    <w:rsid w:val="00321FCF"/>
    <w:rPr>
      <w:i/>
      <w:iCs/>
      <w:smallCaps/>
      <w:spacing w:val="5"/>
    </w:rPr>
  </w:style>
  <w:style w:type="paragraph" w:styleId="TOCHeading">
    <w:name w:val="TOC Heading"/>
    <w:basedOn w:val="Heading1"/>
    <w:next w:val="Normal"/>
    <w:uiPriority w:val="39"/>
    <w:semiHidden/>
    <w:unhideWhenUsed/>
    <w:qFormat/>
    <w:rsid w:val="00321FCF"/>
    <w:pPr>
      <w:numPr>
        <w:numId w:val="0"/>
      </w:numPr>
      <w:outlineLvl w:val="9"/>
    </w:pPr>
    <w:rPr>
      <w:lang w:bidi="en-US"/>
    </w:rPr>
  </w:style>
  <w:style w:type="character" w:styleId="PageNumber">
    <w:name w:val="page number"/>
    <w:basedOn w:val="DefaultParagraphFont"/>
    <w:semiHidden/>
    <w:rsid w:val="00CB2E75"/>
  </w:style>
  <w:style w:type="paragraph" w:styleId="Header">
    <w:name w:val="header"/>
    <w:basedOn w:val="Normal"/>
    <w:link w:val="HeaderChar"/>
    <w:uiPriority w:val="99"/>
    <w:rsid w:val="00CB2E75"/>
    <w:pPr>
      <w:tabs>
        <w:tab w:val="center" w:pos="4320"/>
        <w:tab w:val="right" w:pos="8640"/>
      </w:tabs>
      <w:suppressAutoHyphens/>
      <w:spacing w:line="240" w:lineRule="auto"/>
    </w:pPr>
    <w:rPr>
      <w:rFonts w:ascii="Arial" w:eastAsia="Times New Roman" w:hAnsi="Arial" w:cs="Times New Roman"/>
      <w:sz w:val="20"/>
      <w:szCs w:val="24"/>
      <w:lang w:val="en-US" w:eastAsia="ar-SA"/>
    </w:rPr>
  </w:style>
  <w:style w:type="character" w:customStyle="1" w:styleId="HeaderChar">
    <w:name w:val="Header Char"/>
    <w:basedOn w:val="DefaultParagraphFont"/>
    <w:link w:val="Header"/>
    <w:uiPriority w:val="99"/>
    <w:rsid w:val="00CB2E75"/>
    <w:rPr>
      <w:rFonts w:ascii="Arial" w:eastAsia="Times New Roman" w:hAnsi="Arial" w:cs="Times New Roman"/>
      <w:sz w:val="20"/>
      <w:szCs w:val="24"/>
      <w:lang w:val="en-US" w:eastAsia="ar-SA"/>
    </w:rPr>
  </w:style>
  <w:style w:type="paragraph" w:styleId="Footer">
    <w:name w:val="footer"/>
    <w:basedOn w:val="Normal"/>
    <w:link w:val="FooterChar"/>
    <w:uiPriority w:val="99"/>
    <w:rsid w:val="00CB2E75"/>
    <w:pPr>
      <w:tabs>
        <w:tab w:val="center" w:pos="4419"/>
        <w:tab w:val="right" w:pos="8838"/>
      </w:tabs>
      <w:suppressAutoHyphens/>
      <w:spacing w:line="240" w:lineRule="auto"/>
    </w:pPr>
    <w:rPr>
      <w:rFonts w:eastAsia="Times New Roman" w:cs="Times New Roman"/>
      <w:sz w:val="20"/>
      <w:szCs w:val="20"/>
      <w:lang w:val="en-US" w:eastAsia="ar-SA"/>
    </w:rPr>
  </w:style>
  <w:style w:type="character" w:customStyle="1" w:styleId="FooterChar">
    <w:name w:val="Footer Char"/>
    <w:basedOn w:val="DefaultParagraphFont"/>
    <w:link w:val="Footer"/>
    <w:uiPriority w:val="99"/>
    <w:rsid w:val="00CB2E75"/>
    <w:rPr>
      <w:rFonts w:ascii="Times New Roman" w:eastAsia="Times New Roman" w:hAnsi="Times New Roman" w:cs="Times New Roman"/>
      <w:sz w:val="20"/>
      <w:szCs w:val="20"/>
      <w:lang w:val="en-US" w:eastAsia="ar-SA"/>
    </w:rPr>
  </w:style>
  <w:style w:type="paragraph" w:styleId="BalloonText">
    <w:name w:val="Balloon Text"/>
    <w:basedOn w:val="Normal"/>
    <w:link w:val="BalloonTextChar"/>
    <w:uiPriority w:val="99"/>
    <w:semiHidden/>
    <w:unhideWhenUsed/>
    <w:rsid w:val="00CB2E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75"/>
    <w:rPr>
      <w:rFonts w:ascii="Tahoma" w:hAnsi="Tahoma" w:cs="Tahoma"/>
      <w:sz w:val="16"/>
      <w:szCs w:val="16"/>
    </w:rPr>
  </w:style>
  <w:style w:type="paragraph" w:customStyle="1" w:styleId="Default">
    <w:name w:val="Default"/>
    <w:rsid w:val="001E3348"/>
    <w:pPr>
      <w:autoSpaceDE w:val="0"/>
      <w:autoSpaceDN w:val="0"/>
      <w:adjustRightInd w:val="0"/>
      <w:spacing w:after="0" w:line="240" w:lineRule="auto"/>
    </w:pPr>
    <w:rPr>
      <w:rFonts w:ascii="Myriad Pro" w:eastAsia="MS Mincho" w:hAnsi="Myriad Pro" w:cs="Myriad Pro"/>
      <w:color w:val="000000"/>
      <w:sz w:val="24"/>
      <w:szCs w:val="24"/>
      <w:lang w:val="en-US" w:eastAsia="ja-JP"/>
    </w:rPr>
  </w:style>
  <w:style w:type="paragraph" w:styleId="BodyText2">
    <w:name w:val="Body Text 2"/>
    <w:basedOn w:val="Normal"/>
    <w:link w:val="BodyText2Char"/>
    <w:uiPriority w:val="99"/>
    <w:unhideWhenUsed/>
    <w:rsid w:val="008E736C"/>
    <w:pPr>
      <w:spacing w:after="120" w:line="480" w:lineRule="auto"/>
    </w:pPr>
  </w:style>
  <w:style w:type="character" w:customStyle="1" w:styleId="BodyText2Char">
    <w:name w:val="Body Text 2 Char"/>
    <w:basedOn w:val="DefaultParagraphFont"/>
    <w:link w:val="BodyText2"/>
    <w:uiPriority w:val="99"/>
    <w:rsid w:val="008E736C"/>
  </w:style>
  <w:style w:type="character" w:styleId="Hyperlink">
    <w:name w:val="Hyperlink"/>
    <w:basedOn w:val="DefaultParagraphFont"/>
    <w:uiPriority w:val="99"/>
    <w:unhideWhenUsed/>
    <w:rsid w:val="0020647E"/>
    <w:rPr>
      <w:color w:val="0000FF" w:themeColor="hyperlink"/>
      <w:u w:val="single"/>
    </w:rPr>
  </w:style>
  <w:style w:type="paragraph" w:customStyle="1" w:styleId="PersonalName">
    <w:name w:val="Personal Name"/>
    <w:basedOn w:val="Title"/>
    <w:rsid w:val="00CA1DA8"/>
    <w:rPr>
      <w:b/>
      <w:caps/>
      <w:color w:val="000000"/>
      <w:sz w:val="28"/>
      <w:szCs w:val="28"/>
    </w:rPr>
  </w:style>
  <w:style w:type="paragraph" w:styleId="PlainText">
    <w:name w:val="Plain Text"/>
    <w:basedOn w:val="Normal"/>
    <w:link w:val="PlainTextChar"/>
    <w:rsid w:val="00256D14"/>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56D14"/>
    <w:rPr>
      <w:rFonts w:ascii="Courier New" w:eastAsia="Times New Roman" w:hAnsi="Courier New" w:cs="Courier New"/>
      <w:sz w:val="20"/>
      <w:szCs w:val="20"/>
    </w:rPr>
  </w:style>
  <w:style w:type="paragraph" w:customStyle="1" w:styleId="Char">
    <w:name w:val="Char"/>
    <w:basedOn w:val="Heading2"/>
    <w:rsid w:val="00487E7B"/>
    <w:pPr>
      <w:keepNext/>
      <w:pageBreakBefore/>
      <w:numPr>
        <w:ilvl w:val="0"/>
        <w:numId w:val="0"/>
      </w:numPr>
      <w:tabs>
        <w:tab w:val="left" w:pos="850"/>
        <w:tab w:val="left" w:pos="1191"/>
        <w:tab w:val="left" w:pos="1531"/>
      </w:tabs>
      <w:spacing w:before="120" w:line="240" w:lineRule="auto"/>
      <w:jc w:val="center"/>
    </w:pPr>
    <w:rPr>
      <w:rFonts w:ascii="Tahoma" w:eastAsia="Times New Roman" w:hAnsi="Tahoma" w:cs="Tahoma"/>
      <w:b w:val="0"/>
      <w:smallCaps/>
      <w:color w:val="FFFFFF"/>
      <w:spacing w:val="20"/>
      <w:sz w:val="22"/>
      <w:szCs w:val="22"/>
      <w:lang w:eastAsia="zh-CN"/>
    </w:rPr>
  </w:style>
  <w:style w:type="paragraph" w:styleId="TOC4">
    <w:name w:val="toc 4"/>
    <w:basedOn w:val="Normal"/>
    <w:next w:val="Normal"/>
    <w:autoRedefine/>
    <w:uiPriority w:val="39"/>
    <w:unhideWhenUsed/>
    <w:rsid w:val="00A47A69"/>
    <w:pPr>
      <w:spacing w:after="100"/>
      <w:ind w:left="660"/>
    </w:pPr>
  </w:style>
  <w:style w:type="paragraph" w:customStyle="1" w:styleId="BankNormal">
    <w:name w:val="BankNormal"/>
    <w:basedOn w:val="Normal"/>
    <w:rsid w:val="00A47A69"/>
    <w:pPr>
      <w:spacing w:after="240" w:line="240" w:lineRule="auto"/>
    </w:pPr>
    <w:rPr>
      <w:rFonts w:eastAsia="Times New Roman" w:cs="Times New Roman"/>
      <w:sz w:val="24"/>
      <w:szCs w:val="20"/>
      <w:lang w:val="en-US"/>
    </w:rPr>
  </w:style>
  <w:style w:type="character" w:styleId="FootnoteReference">
    <w:name w:val="footnote reference"/>
    <w:aliases w:val="16 Point,Superscript 6 Point,Superscript 6 Point + 11 pt"/>
    <w:basedOn w:val="DefaultParagraphFont"/>
    <w:unhideWhenUsed/>
    <w:rsid w:val="00136531"/>
    <w:rPr>
      <w:vertAlign w:val="superscript"/>
    </w:rPr>
  </w:style>
  <w:style w:type="paragraph" w:customStyle="1" w:styleId="Textoindependiente">
    <w:name w:val="Texto.independiente"/>
    <w:basedOn w:val="Normal"/>
    <w:rsid w:val="00AF230D"/>
    <w:pPr>
      <w:spacing w:after="120" w:line="240" w:lineRule="auto"/>
      <w:jc w:val="both"/>
    </w:pPr>
    <w:rPr>
      <w:rFonts w:eastAsia="Times New Roman" w:cs="Times New Roman"/>
      <w:szCs w:val="20"/>
      <w:lang w:val="da-DK"/>
    </w:rPr>
  </w:style>
  <w:style w:type="paragraph" w:styleId="BodyTextIndent">
    <w:name w:val="Body Text Indent"/>
    <w:basedOn w:val="Normal"/>
    <w:link w:val="BodyTextIndentChar"/>
    <w:uiPriority w:val="99"/>
    <w:semiHidden/>
    <w:unhideWhenUsed/>
    <w:rsid w:val="003D7079"/>
    <w:pPr>
      <w:spacing w:after="120"/>
      <w:ind w:left="283"/>
    </w:pPr>
  </w:style>
  <w:style w:type="character" w:customStyle="1" w:styleId="BodyTextIndentChar">
    <w:name w:val="Body Text Indent Char"/>
    <w:basedOn w:val="DefaultParagraphFont"/>
    <w:link w:val="BodyTextIndent"/>
    <w:uiPriority w:val="99"/>
    <w:semiHidden/>
    <w:rsid w:val="003D7079"/>
  </w:style>
  <w:style w:type="paragraph" w:customStyle="1" w:styleId="StyleBulletBold">
    <w:name w:val="Style Bullet + Bold"/>
    <w:basedOn w:val="Normal"/>
    <w:rsid w:val="003D7079"/>
    <w:pPr>
      <w:tabs>
        <w:tab w:val="num" w:pos="720"/>
      </w:tabs>
      <w:suppressAutoHyphens/>
      <w:spacing w:line="240" w:lineRule="auto"/>
    </w:pPr>
    <w:rPr>
      <w:rFonts w:eastAsia="Times New Roman" w:cs="Times New Roman"/>
      <w:sz w:val="24"/>
      <w:szCs w:val="24"/>
      <w:lang w:val="en-US" w:eastAsia="ar-SA"/>
    </w:rPr>
  </w:style>
  <w:style w:type="paragraph" w:customStyle="1" w:styleId="Memoheading">
    <w:name w:val="Memo heading"/>
    <w:basedOn w:val="Normal"/>
    <w:rsid w:val="003D7079"/>
    <w:pPr>
      <w:spacing w:line="240" w:lineRule="auto"/>
    </w:pPr>
    <w:rPr>
      <w:rFonts w:eastAsia="Times New Roman" w:cs="Times New Roman"/>
      <w:sz w:val="24"/>
      <w:szCs w:val="24"/>
      <w:lang w:val="en-US"/>
    </w:rPr>
  </w:style>
  <w:style w:type="paragraph" w:customStyle="1" w:styleId="f4">
    <w:name w:val="f4"/>
    <w:rsid w:val="00071463"/>
    <w:pPr>
      <w:widowControl w:val="0"/>
      <w:spacing w:after="0" w:line="240" w:lineRule="auto"/>
    </w:pPr>
    <w:rPr>
      <w:rFonts w:ascii="CG Times" w:eastAsia="Times New Roman" w:hAnsi="CG Times" w:cs="Times New Roman"/>
      <w:szCs w:val="20"/>
      <w:lang w:val="en-AU"/>
    </w:rPr>
  </w:style>
  <w:style w:type="paragraph" w:customStyle="1" w:styleId="NumberedPara">
    <w:name w:val="Numbered Para"/>
    <w:basedOn w:val="ListParagraph"/>
    <w:link w:val="NumberedParaChar"/>
    <w:qFormat/>
    <w:rsid w:val="00E314B1"/>
    <w:pPr>
      <w:numPr>
        <w:numId w:val="3"/>
      </w:numPr>
      <w:tabs>
        <w:tab w:val="left" w:pos="567"/>
      </w:tabs>
      <w:spacing w:before="80" w:after="80"/>
      <w:ind w:left="0" w:firstLine="0"/>
      <w:jc w:val="both"/>
    </w:pPr>
  </w:style>
  <w:style w:type="character" w:customStyle="1" w:styleId="NumberedParaChar">
    <w:name w:val="Numbered Para Char"/>
    <w:basedOn w:val="ListParagraphChar"/>
    <w:link w:val="NumberedPara"/>
    <w:rsid w:val="00E314B1"/>
    <w:rPr>
      <w:rFonts w:ascii="Times New Roman" w:hAnsi="Times New Roman"/>
    </w:rPr>
  </w:style>
  <w:style w:type="paragraph" w:customStyle="1" w:styleId="Tablecontent">
    <w:name w:val="Table content"/>
    <w:basedOn w:val="Normal"/>
    <w:link w:val="TablecontentChar"/>
    <w:qFormat/>
    <w:rsid w:val="00D9207E"/>
    <w:pPr>
      <w:spacing w:line="240" w:lineRule="auto"/>
    </w:pPr>
    <w:rPr>
      <w:rFonts w:eastAsia="Times New Roman" w:cs="Times New Roman"/>
      <w:lang w:val="en-US" w:eastAsia="en-GB"/>
    </w:rPr>
  </w:style>
  <w:style w:type="character" w:customStyle="1" w:styleId="TablecontentChar">
    <w:name w:val="Table content Char"/>
    <w:basedOn w:val="ListBullet2Char"/>
    <w:link w:val="Tablecontent"/>
    <w:rsid w:val="00D9207E"/>
    <w:rPr>
      <w:rFonts w:ascii="Times New Roman" w:eastAsia="Times New Roman" w:hAnsi="Times New Roman" w:cs="Times New Roman"/>
      <w:bCs w:val="0"/>
      <w:szCs w:val="24"/>
      <w:lang w:val="en-US" w:eastAsia="en-GB"/>
    </w:rPr>
  </w:style>
  <w:style w:type="paragraph" w:customStyle="1" w:styleId="ListBulletindent">
    <w:name w:val="List Bullet indent"/>
    <w:basedOn w:val="ListParagraph"/>
    <w:link w:val="ListBulletindentChar"/>
    <w:qFormat/>
    <w:rsid w:val="002A3352"/>
    <w:pPr>
      <w:numPr>
        <w:numId w:val="1"/>
      </w:numPr>
    </w:pPr>
  </w:style>
  <w:style w:type="character" w:customStyle="1" w:styleId="ListBulletindentChar">
    <w:name w:val="List Bullet indent Char"/>
    <w:basedOn w:val="ListParagraphChar"/>
    <w:link w:val="ListBulletindent"/>
    <w:rsid w:val="002A3352"/>
    <w:rPr>
      <w:rFonts w:ascii="Times New Roman" w:hAnsi="Times New Roman"/>
    </w:rPr>
  </w:style>
  <w:style w:type="character" w:styleId="FollowedHyperlink">
    <w:name w:val="FollowedHyperlink"/>
    <w:basedOn w:val="DefaultParagraphFont"/>
    <w:uiPriority w:val="99"/>
    <w:unhideWhenUsed/>
    <w:rsid w:val="00B42E05"/>
    <w:rPr>
      <w:color w:val="800080" w:themeColor="followedHyperlink"/>
      <w:u w:val="single"/>
    </w:rPr>
  </w:style>
  <w:style w:type="paragraph" w:styleId="NormalIndent">
    <w:name w:val="Normal Indent"/>
    <w:basedOn w:val="Normal"/>
    <w:rsid w:val="003A3389"/>
    <w:pPr>
      <w:spacing w:line="240" w:lineRule="auto"/>
      <w:ind w:left="720"/>
    </w:pPr>
    <w:rPr>
      <w:rFonts w:eastAsia="Times New Roman" w:cs="Times New Roman"/>
      <w:sz w:val="24"/>
      <w:szCs w:val="20"/>
      <w:lang w:val="en-US"/>
    </w:rPr>
  </w:style>
  <w:style w:type="paragraph" w:customStyle="1" w:styleId="font6">
    <w:name w:val="font6"/>
    <w:basedOn w:val="Normal"/>
    <w:rsid w:val="00EF4EC9"/>
    <w:pPr>
      <w:spacing w:before="100" w:beforeAutospacing="1" w:after="100" w:afterAutospacing="1" w:line="240" w:lineRule="auto"/>
    </w:pPr>
    <w:rPr>
      <w:rFonts w:eastAsia="Arial Unicode MS" w:cs="Times New Roman"/>
      <w:sz w:val="18"/>
      <w:szCs w:val="18"/>
      <w:lang w:val="en-US"/>
    </w:rPr>
  </w:style>
  <w:style w:type="paragraph" w:customStyle="1" w:styleId="xl31">
    <w:name w:val="xl31"/>
    <w:basedOn w:val="Normal"/>
    <w:rsid w:val="0065624F"/>
    <w:pPr>
      <w:spacing w:before="100" w:beforeAutospacing="1" w:after="100" w:afterAutospacing="1" w:line="240" w:lineRule="auto"/>
    </w:pPr>
    <w:rPr>
      <w:rFonts w:eastAsia="Arial Unicode MS" w:cs="Times New Roman"/>
      <w:color w:val="000000"/>
      <w:sz w:val="18"/>
      <w:szCs w:val="18"/>
      <w:lang w:val="en-US"/>
    </w:rPr>
  </w:style>
  <w:style w:type="table" w:customStyle="1" w:styleId="LightList1">
    <w:name w:val="Light List1"/>
    <w:basedOn w:val="TableNormal"/>
    <w:uiPriority w:val="61"/>
    <w:rsid w:val="005F12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1">
    <w:name w:val="Style1"/>
    <w:basedOn w:val="TableNormal"/>
    <w:uiPriority w:val="99"/>
    <w:rsid w:val="005F1257"/>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5F125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26528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tyle2">
    <w:name w:val="Style2"/>
    <w:basedOn w:val="TableNormal"/>
    <w:uiPriority w:val="99"/>
    <w:rsid w:val="002F1C09"/>
    <w:pPr>
      <w:spacing w:after="0" w:line="240" w:lineRule="auto"/>
    </w:p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
    <w:tblStylePr w:type="firstRow">
      <w:pPr>
        <w:wordWrap/>
        <w:jc w:val="center"/>
      </w:pPr>
      <w:rPr>
        <w:b/>
        <w:color w:val="FFFFFF" w:themeColor="background1"/>
      </w:rPr>
      <w:tblPr/>
      <w:tcPr>
        <w:shd w:val="clear" w:color="auto" w:fill="A6A6A6" w:themeFill="background1" w:themeFillShade="A6"/>
      </w:tcPr>
    </w:tblStylePr>
  </w:style>
  <w:style w:type="table" w:customStyle="1" w:styleId="PlainReport">
    <w:name w:val="Plain Report"/>
    <w:basedOn w:val="TableNormal"/>
    <w:uiPriority w:val="99"/>
    <w:rsid w:val="002F1C09"/>
    <w:pPr>
      <w:spacing w:after="0" w:line="240" w:lineRule="auto"/>
    </w:pPr>
    <w:rPr>
      <w:rFonts w:ascii="Times New Roman" w:hAnsi="Times New Roman"/>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
    <w:tblStylePr w:type="firstRow">
      <w:pPr>
        <w:jc w:val="center"/>
      </w:pPr>
      <w:rPr>
        <w:b/>
      </w:rPr>
      <w:tblPr/>
      <w:tcPr>
        <w:shd w:val="clear" w:color="auto" w:fill="A6A6A6" w:themeFill="background1" w:themeFillShade="A6"/>
        <w:vAlign w:val="center"/>
      </w:tcPr>
    </w:tblStylePr>
  </w:style>
  <w:style w:type="table" w:customStyle="1" w:styleId="BasicReportTable">
    <w:name w:val="Basic Report Table"/>
    <w:basedOn w:val="TableNormal"/>
    <w:uiPriority w:val="99"/>
    <w:rsid w:val="007B4BCB"/>
    <w:pPr>
      <w:spacing w:after="0" w:line="240" w:lineRule="auto"/>
    </w:pPr>
    <w:rPr>
      <w:rFonts w:ascii="Times New Roman" w:hAnsi="Times New Roman"/>
      <w:sz w:val="20"/>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wordWrap/>
        <w:spacing w:beforeLines="0" w:beforeAutospacing="0" w:afterLines="0" w:afterAutospacing="0" w:line="240" w:lineRule="auto"/>
        <w:jc w:val="center"/>
      </w:pPr>
      <w:rPr>
        <w:b/>
        <w:i w:val="0"/>
        <w:color w:val="FFFFFF" w:themeColor="background1"/>
        <w:u w:val="none"/>
      </w:rPr>
      <w:tblPr/>
      <w:tcPr>
        <w:tcBorders>
          <w:insideH w:val="single" w:sz="4" w:space="0" w:color="F2F2F2" w:themeColor="background1" w:themeShade="F2"/>
          <w:insideV w:val="single" w:sz="4" w:space="0" w:color="F2F2F2" w:themeColor="background1" w:themeShade="F2"/>
        </w:tcBorders>
        <w:shd w:val="clear" w:color="auto" w:fill="808080" w:themeFill="background1" w:themeFillShade="80"/>
        <w:vAlign w:val="center"/>
      </w:tcPr>
    </w:tblStylePr>
  </w:style>
  <w:style w:type="paragraph" w:styleId="EndnoteText">
    <w:name w:val="endnote text"/>
    <w:basedOn w:val="Normal"/>
    <w:link w:val="EndnoteTextChar"/>
    <w:semiHidden/>
    <w:rsid w:val="008721D2"/>
    <w:pPr>
      <w:spacing w:line="240" w:lineRule="auto"/>
    </w:pPr>
    <w:rPr>
      <w:rFonts w:ascii="Helvetica" w:eastAsia="Times New Roman" w:hAnsi="Helvetica" w:cs="Times New Roman"/>
      <w:bCs/>
      <w:color w:val="221E1F"/>
      <w:sz w:val="20"/>
      <w:szCs w:val="20"/>
      <w:lang w:val="en-US"/>
    </w:rPr>
  </w:style>
  <w:style w:type="character" w:customStyle="1" w:styleId="EndnoteTextChar">
    <w:name w:val="Endnote Text Char"/>
    <w:basedOn w:val="DefaultParagraphFont"/>
    <w:link w:val="EndnoteText"/>
    <w:semiHidden/>
    <w:rsid w:val="008721D2"/>
    <w:rPr>
      <w:rFonts w:ascii="Helvetica" w:eastAsia="Times New Roman" w:hAnsi="Helvetica" w:cs="Times New Roman"/>
      <w:bCs/>
      <w:color w:val="221E1F"/>
      <w:sz w:val="20"/>
      <w:szCs w:val="20"/>
      <w:lang w:val="en-US"/>
    </w:rPr>
  </w:style>
  <w:style w:type="character" w:styleId="EndnoteReference">
    <w:name w:val="endnote reference"/>
    <w:basedOn w:val="DefaultParagraphFont"/>
    <w:semiHidden/>
    <w:rsid w:val="008721D2"/>
    <w:rPr>
      <w:vertAlign w:val="superscript"/>
    </w:rPr>
  </w:style>
  <w:style w:type="paragraph" w:styleId="TOC1">
    <w:name w:val="toc 1"/>
    <w:basedOn w:val="Normal"/>
    <w:next w:val="Normal"/>
    <w:autoRedefine/>
    <w:uiPriority w:val="39"/>
    <w:unhideWhenUsed/>
    <w:rsid w:val="007315E1"/>
    <w:pPr>
      <w:spacing w:after="100" w:line="252" w:lineRule="auto"/>
    </w:pPr>
  </w:style>
  <w:style w:type="paragraph" w:styleId="TOC2">
    <w:name w:val="toc 2"/>
    <w:basedOn w:val="Normal"/>
    <w:next w:val="Normal"/>
    <w:autoRedefine/>
    <w:uiPriority w:val="39"/>
    <w:unhideWhenUsed/>
    <w:rsid w:val="00BA73ED"/>
    <w:pPr>
      <w:spacing w:after="100"/>
      <w:ind w:left="220"/>
    </w:pPr>
  </w:style>
  <w:style w:type="paragraph" w:customStyle="1" w:styleId="RecommendationHeading">
    <w:name w:val="Recommendation Heading"/>
    <w:basedOn w:val="ListParagraph"/>
    <w:next w:val="NumberedPara"/>
    <w:link w:val="RecommendationHeadingChar"/>
    <w:qFormat/>
    <w:rsid w:val="002D4972"/>
    <w:pPr>
      <w:numPr>
        <w:numId w:val="36"/>
      </w:numPr>
    </w:pPr>
  </w:style>
  <w:style w:type="character" w:customStyle="1" w:styleId="RecommendationHeadingChar">
    <w:name w:val="Recommendation Heading Char"/>
    <w:basedOn w:val="ListParagraphChar"/>
    <w:link w:val="RecommendationHeading"/>
    <w:rsid w:val="002D4972"/>
    <w:rPr>
      <w:rFonts w:ascii="Times New Roman" w:hAnsi="Times New Roman"/>
    </w:rPr>
  </w:style>
  <w:style w:type="paragraph" w:styleId="NormalWeb">
    <w:name w:val="Normal (Web)"/>
    <w:basedOn w:val="Normal"/>
    <w:uiPriority w:val="99"/>
    <w:rsid w:val="009324AD"/>
    <w:pPr>
      <w:spacing w:line="240" w:lineRule="auto"/>
    </w:pPr>
    <w:rPr>
      <w:rFonts w:eastAsia="Times New Roman" w:cs="Times New Roman"/>
      <w:sz w:val="24"/>
      <w:szCs w:val="24"/>
      <w:lang w:val="ru-RU" w:eastAsia="ru-RU"/>
    </w:rPr>
  </w:style>
  <w:style w:type="character" w:styleId="CommentReference">
    <w:name w:val="annotation reference"/>
    <w:basedOn w:val="DefaultParagraphFont"/>
    <w:uiPriority w:val="99"/>
    <w:unhideWhenUsed/>
    <w:rsid w:val="006C75EA"/>
    <w:rPr>
      <w:sz w:val="16"/>
      <w:szCs w:val="16"/>
    </w:rPr>
  </w:style>
  <w:style w:type="paragraph" w:styleId="CommentText">
    <w:name w:val="annotation text"/>
    <w:basedOn w:val="Normal"/>
    <w:link w:val="CommentTextChar"/>
    <w:unhideWhenUsed/>
    <w:rsid w:val="006C75EA"/>
    <w:pPr>
      <w:spacing w:line="240" w:lineRule="auto"/>
    </w:pPr>
    <w:rPr>
      <w:sz w:val="20"/>
      <w:szCs w:val="20"/>
    </w:rPr>
  </w:style>
  <w:style w:type="character" w:customStyle="1" w:styleId="CommentTextChar">
    <w:name w:val="Comment Text Char"/>
    <w:basedOn w:val="DefaultParagraphFont"/>
    <w:link w:val="CommentText"/>
    <w:rsid w:val="006C75EA"/>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6C75EA"/>
    <w:rPr>
      <w:b/>
      <w:bCs/>
    </w:rPr>
  </w:style>
  <w:style w:type="character" w:customStyle="1" w:styleId="CommentSubjectChar">
    <w:name w:val="Comment Subject Char"/>
    <w:basedOn w:val="CommentTextChar"/>
    <w:link w:val="CommentSubject"/>
    <w:uiPriority w:val="99"/>
    <w:rsid w:val="006C75EA"/>
    <w:rPr>
      <w:rFonts w:ascii="Times New Roman" w:hAnsi="Times New Roman"/>
      <w:b/>
      <w:bCs/>
      <w:sz w:val="20"/>
      <w:szCs w:val="20"/>
    </w:rPr>
  </w:style>
  <w:style w:type="character" w:customStyle="1" w:styleId="addthistoolbox">
    <w:name w:val="addthis_toolbox"/>
    <w:basedOn w:val="DefaultParagraphFont"/>
    <w:rsid w:val="00E65980"/>
  </w:style>
  <w:style w:type="character" w:customStyle="1" w:styleId="ata11y">
    <w:name w:val="at_a11y"/>
    <w:basedOn w:val="DefaultParagraphFont"/>
    <w:rsid w:val="00E65980"/>
  </w:style>
  <w:style w:type="paragraph" w:styleId="HTMLPreformatted">
    <w:name w:val="HTML Preformatted"/>
    <w:basedOn w:val="Normal"/>
    <w:link w:val="HTMLPreformattedChar"/>
    <w:uiPriority w:val="99"/>
    <w:unhideWhenUsed/>
    <w:rsid w:val="00E6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65980"/>
    <w:rPr>
      <w:rFonts w:ascii="Courier New" w:eastAsia="Times New Roman" w:hAnsi="Courier New" w:cs="Courier New"/>
      <w:sz w:val="20"/>
      <w:szCs w:val="20"/>
      <w:lang w:eastAsia="en-GB"/>
    </w:rPr>
  </w:style>
  <w:style w:type="paragraph" w:customStyle="1" w:styleId="TableText">
    <w:name w:val="TableText"/>
    <w:autoRedefine/>
    <w:rsid w:val="00255D97"/>
    <w:pPr>
      <w:tabs>
        <w:tab w:val="left" w:pos="-164"/>
      </w:tabs>
      <w:suppressAutoHyphens/>
      <w:spacing w:after="0" w:line="240" w:lineRule="auto"/>
    </w:pPr>
    <w:rPr>
      <w:rFonts w:ascii="Times New Roman" w:eastAsia="Times New Roman" w:hAnsi="Times New Roman" w:cs="Times New Roman"/>
    </w:rPr>
  </w:style>
  <w:style w:type="character" w:customStyle="1" w:styleId="Heading2Char2">
    <w:name w:val="Heading 2 Char2"/>
    <w:aliases w:val="Heading 2 Char Char Char Char1"/>
    <w:rsid w:val="00D14092"/>
    <w:rPr>
      <w:rFonts w:ascii="Arial" w:hAnsi="Arial" w:cs="Arial"/>
      <w:b/>
      <w:bCs/>
      <w:i/>
      <w:iCs/>
      <w:sz w:val="28"/>
      <w:szCs w:val="28"/>
    </w:rPr>
  </w:style>
  <w:style w:type="paragraph" w:customStyle="1" w:styleId="BodyText23">
    <w:name w:val="Body Text 23"/>
    <w:basedOn w:val="Normal"/>
    <w:rsid w:val="0017202F"/>
    <w:pPr>
      <w:widowControl w:val="0"/>
      <w:tabs>
        <w:tab w:val="left" w:pos="547"/>
      </w:tabs>
      <w:spacing w:line="240" w:lineRule="auto"/>
    </w:pPr>
    <w:rPr>
      <w:rFonts w:eastAsia="Times New Roman" w:cs="Times New Roman"/>
      <w:snapToGrid w:val="0"/>
      <w:szCs w:val="20"/>
      <w:lang w:val="en-US"/>
    </w:rPr>
  </w:style>
  <w:style w:type="paragraph" w:styleId="TOC5">
    <w:name w:val="toc 5"/>
    <w:basedOn w:val="Normal"/>
    <w:next w:val="Normal"/>
    <w:autoRedefine/>
    <w:uiPriority w:val="39"/>
    <w:unhideWhenUsed/>
    <w:rsid w:val="00BA4332"/>
    <w:pPr>
      <w:spacing w:after="100"/>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BA4332"/>
    <w:pPr>
      <w:spacing w:after="100"/>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BA4332"/>
    <w:pPr>
      <w:spacing w:after="100"/>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BA4332"/>
    <w:pPr>
      <w:spacing w:after="100"/>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BA4332"/>
    <w:pPr>
      <w:spacing w:after="100"/>
      <w:ind w:left="1760"/>
    </w:pPr>
    <w:rPr>
      <w:rFonts w:asciiTheme="minorHAnsi" w:eastAsiaTheme="minorEastAsia" w:hAnsiTheme="minorHAnsi" w:cstheme="minorBidi"/>
      <w:lang w:eastAsia="en-GB"/>
    </w:rPr>
  </w:style>
  <w:style w:type="paragraph" w:customStyle="1" w:styleId="Heading51">
    <w:name w:val="Heading 51"/>
    <w:basedOn w:val="Normal"/>
    <w:next w:val="Normal"/>
    <w:uiPriority w:val="9"/>
    <w:unhideWhenUsed/>
    <w:qFormat/>
    <w:rsid w:val="00FD46A2"/>
    <w:pPr>
      <w:pBdr>
        <w:bottom w:val="single" w:sz="6" w:space="1" w:color="4F81BD"/>
      </w:pBdr>
      <w:spacing w:before="300"/>
      <w:outlineLvl w:val="4"/>
    </w:pPr>
    <w:rPr>
      <w:rFonts w:ascii="Calibri" w:eastAsia="Times New Roman" w:hAnsi="Calibri" w:cs="Times New Roman"/>
      <w:b/>
      <w:caps/>
      <w:spacing w:val="10"/>
      <w:lang w:val="en-US" w:bidi="en-US"/>
    </w:rPr>
  </w:style>
  <w:style w:type="character" w:customStyle="1" w:styleId="pseditboxdisponly">
    <w:name w:val="pseditbox_disponly"/>
    <w:rsid w:val="00FD46A2"/>
  </w:style>
  <w:style w:type="paragraph" w:customStyle="1" w:styleId="A">
    <w:name w:val="A"/>
    <w:basedOn w:val="Normal"/>
    <w:rsid w:val="00FD46A2"/>
    <w:pPr>
      <w:numPr>
        <w:numId w:val="10"/>
      </w:numPr>
      <w:tabs>
        <w:tab w:val="clear" w:pos="720"/>
        <w:tab w:val="num" w:pos="540"/>
      </w:tabs>
      <w:spacing w:line="280" w:lineRule="exact"/>
      <w:ind w:left="0" w:firstLine="0"/>
      <w:jc w:val="both"/>
    </w:pPr>
    <w:rPr>
      <w:rFonts w:eastAsia="Times New Roman" w:cs="Times New Roman"/>
      <w:lang w:val="en-US"/>
    </w:rPr>
  </w:style>
  <w:style w:type="character" w:customStyle="1" w:styleId="longtext">
    <w:name w:val="long_text"/>
    <w:basedOn w:val="DefaultParagraphFont"/>
    <w:rsid w:val="00FD46A2"/>
  </w:style>
  <w:style w:type="paragraph" w:customStyle="1" w:styleId="Heading11">
    <w:name w:val="Heading 11"/>
    <w:basedOn w:val="Normal"/>
    <w:next w:val="Normal"/>
    <w:uiPriority w:val="9"/>
    <w:qFormat/>
    <w:rsid w:val="00FD46A2"/>
    <w:pPr>
      <w:pBdr>
        <w:top w:val="single" w:sz="24" w:space="0" w:color="4F81BD"/>
        <w:left w:val="single" w:sz="24" w:space="0" w:color="4F81BD"/>
        <w:bottom w:val="single" w:sz="24" w:space="0" w:color="4F81BD"/>
        <w:right w:val="single" w:sz="24" w:space="0" w:color="4F81BD"/>
      </w:pBdr>
      <w:shd w:val="clear" w:color="auto" w:fill="4F81BD"/>
      <w:spacing w:before="200"/>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unhideWhenUsed/>
    <w:qFormat/>
    <w:rsid w:val="00FD46A2"/>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ascii="Calibri" w:eastAsia="Times New Roman" w:hAnsi="Calibri" w:cs="Times New Roman"/>
      <w:caps/>
      <w:spacing w:val="15"/>
      <w:lang w:val="en-US" w:bidi="en-US"/>
    </w:rPr>
  </w:style>
  <w:style w:type="paragraph" w:customStyle="1" w:styleId="Heading31">
    <w:name w:val="Heading 31"/>
    <w:basedOn w:val="Heading51"/>
    <w:next w:val="Normal"/>
    <w:uiPriority w:val="9"/>
    <w:unhideWhenUsed/>
    <w:qFormat/>
    <w:rsid w:val="00FD46A2"/>
  </w:style>
  <w:style w:type="paragraph" w:customStyle="1" w:styleId="Heading41">
    <w:name w:val="Heading 41"/>
    <w:basedOn w:val="Normal"/>
    <w:next w:val="Normal"/>
    <w:uiPriority w:val="9"/>
    <w:unhideWhenUsed/>
    <w:qFormat/>
    <w:rsid w:val="00FD46A2"/>
    <w:pPr>
      <w:pBdr>
        <w:top w:val="dotted" w:sz="6" w:space="2" w:color="4F81BD"/>
        <w:left w:val="dotted" w:sz="6" w:space="2" w:color="4F81BD"/>
      </w:pBdr>
      <w:spacing w:before="300"/>
      <w:outlineLvl w:val="3"/>
    </w:pPr>
    <w:rPr>
      <w:rFonts w:ascii="Calibri" w:eastAsia="Times New Roman" w:hAnsi="Calibri" w:cs="Times New Roman"/>
      <w:caps/>
      <w:color w:val="365F91"/>
      <w:spacing w:val="10"/>
      <w:lang w:val="en-US" w:bidi="en-US"/>
    </w:rPr>
  </w:style>
  <w:style w:type="paragraph" w:customStyle="1" w:styleId="Heading61">
    <w:name w:val="Heading 61"/>
    <w:basedOn w:val="Normal"/>
    <w:next w:val="Normal"/>
    <w:uiPriority w:val="9"/>
    <w:semiHidden/>
    <w:unhideWhenUsed/>
    <w:qFormat/>
    <w:rsid w:val="00FD46A2"/>
    <w:pPr>
      <w:pBdr>
        <w:bottom w:val="dotted" w:sz="6" w:space="1" w:color="4F81BD"/>
      </w:pBdr>
      <w:spacing w:before="300"/>
      <w:outlineLvl w:val="5"/>
    </w:pPr>
    <w:rPr>
      <w:rFonts w:ascii="Calibri" w:eastAsia="Times New Roman" w:hAnsi="Calibri" w:cs="Times New Roman"/>
      <w:caps/>
      <w:color w:val="365F91"/>
      <w:spacing w:val="10"/>
      <w:lang w:val="en-US" w:bidi="en-US"/>
    </w:rPr>
  </w:style>
  <w:style w:type="paragraph" w:customStyle="1" w:styleId="Heading71">
    <w:name w:val="Heading 71"/>
    <w:basedOn w:val="Normal"/>
    <w:next w:val="Normal"/>
    <w:uiPriority w:val="9"/>
    <w:semiHidden/>
    <w:unhideWhenUsed/>
    <w:qFormat/>
    <w:rsid w:val="00FD46A2"/>
    <w:pPr>
      <w:spacing w:before="300"/>
      <w:outlineLvl w:val="6"/>
    </w:pPr>
    <w:rPr>
      <w:rFonts w:ascii="Calibri" w:eastAsia="Times New Roman" w:hAnsi="Calibri" w:cs="Times New Roman"/>
      <w:caps/>
      <w:color w:val="365F91"/>
      <w:spacing w:val="10"/>
      <w:lang w:val="en-US" w:bidi="en-US"/>
    </w:rPr>
  </w:style>
  <w:style w:type="numbering" w:customStyle="1" w:styleId="NoList1">
    <w:name w:val="No List1"/>
    <w:next w:val="NoList"/>
    <w:uiPriority w:val="99"/>
    <w:semiHidden/>
    <w:unhideWhenUsed/>
    <w:rsid w:val="00FD46A2"/>
  </w:style>
  <w:style w:type="paragraph" w:customStyle="1" w:styleId="Caption1">
    <w:name w:val="Caption1"/>
    <w:basedOn w:val="Normal"/>
    <w:next w:val="Normal"/>
    <w:uiPriority w:val="35"/>
    <w:semiHidden/>
    <w:unhideWhenUsed/>
    <w:qFormat/>
    <w:rsid w:val="00FD46A2"/>
    <w:pPr>
      <w:spacing w:before="200"/>
    </w:pPr>
    <w:rPr>
      <w:rFonts w:ascii="Calibri" w:eastAsia="Times New Roman" w:hAnsi="Calibri" w:cs="Times New Roman"/>
      <w:b/>
      <w:bCs/>
      <w:color w:val="365F91"/>
      <w:sz w:val="16"/>
      <w:szCs w:val="16"/>
      <w:lang w:val="en-US" w:bidi="en-US"/>
    </w:rPr>
  </w:style>
  <w:style w:type="paragraph" w:customStyle="1" w:styleId="Title1">
    <w:name w:val="Title1"/>
    <w:basedOn w:val="Normal"/>
    <w:next w:val="Normal"/>
    <w:uiPriority w:val="10"/>
    <w:qFormat/>
    <w:rsid w:val="00FD46A2"/>
    <w:pPr>
      <w:spacing w:before="720"/>
    </w:pPr>
    <w:rPr>
      <w:rFonts w:ascii="Calibri" w:eastAsia="Times New Roman" w:hAnsi="Calibri" w:cs="Times New Roman"/>
      <w:caps/>
      <w:color w:val="4F81BD"/>
      <w:spacing w:val="10"/>
      <w:kern w:val="28"/>
      <w:sz w:val="52"/>
      <w:szCs w:val="52"/>
      <w:lang w:val="en-US" w:bidi="en-US"/>
    </w:rPr>
  </w:style>
  <w:style w:type="paragraph" w:customStyle="1" w:styleId="Subtitle1">
    <w:name w:val="Subtitle1"/>
    <w:basedOn w:val="Normal"/>
    <w:next w:val="Normal"/>
    <w:uiPriority w:val="11"/>
    <w:qFormat/>
    <w:rsid w:val="00FD46A2"/>
    <w:pPr>
      <w:spacing w:before="200" w:after="1000" w:line="240" w:lineRule="auto"/>
    </w:pPr>
    <w:rPr>
      <w:rFonts w:ascii="Calibri" w:eastAsia="Times New Roman" w:hAnsi="Calibri" w:cs="Times New Roman"/>
      <w:caps/>
      <w:color w:val="595959"/>
      <w:spacing w:val="10"/>
      <w:sz w:val="24"/>
      <w:szCs w:val="24"/>
      <w:lang w:val="en-US" w:bidi="en-US"/>
    </w:rPr>
  </w:style>
  <w:style w:type="character" w:customStyle="1" w:styleId="Emphasis1">
    <w:name w:val="Emphasis1"/>
    <w:uiPriority w:val="20"/>
    <w:qFormat/>
    <w:rsid w:val="00FD46A2"/>
    <w:rPr>
      <w:caps/>
      <w:color w:val="243F60"/>
      <w:spacing w:val="5"/>
    </w:rPr>
  </w:style>
  <w:style w:type="paragraph" w:customStyle="1" w:styleId="IntenseQuote1">
    <w:name w:val="Intense Quote1"/>
    <w:basedOn w:val="Normal"/>
    <w:next w:val="Normal"/>
    <w:uiPriority w:val="30"/>
    <w:qFormat/>
    <w:rsid w:val="00FD46A2"/>
    <w:pPr>
      <w:pBdr>
        <w:top w:val="single" w:sz="4" w:space="10" w:color="4F81BD"/>
        <w:left w:val="single" w:sz="4" w:space="10" w:color="4F81BD"/>
      </w:pBdr>
      <w:spacing w:before="200"/>
      <w:ind w:left="1296" w:right="1152"/>
      <w:jc w:val="both"/>
    </w:pPr>
    <w:rPr>
      <w:rFonts w:ascii="Calibri" w:eastAsia="Times New Roman" w:hAnsi="Calibri" w:cs="Times New Roman"/>
      <w:i/>
      <w:iCs/>
      <w:color w:val="4F81BD"/>
      <w:sz w:val="20"/>
      <w:szCs w:val="20"/>
      <w:lang w:val="en-US" w:bidi="en-US"/>
    </w:rPr>
  </w:style>
  <w:style w:type="character" w:customStyle="1" w:styleId="SubtleEmphasis1">
    <w:name w:val="Subtle Emphasis1"/>
    <w:uiPriority w:val="19"/>
    <w:qFormat/>
    <w:rsid w:val="00FD46A2"/>
    <w:rPr>
      <w:i/>
      <w:iCs/>
      <w:color w:val="243F60"/>
    </w:rPr>
  </w:style>
  <w:style w:type="character" w:customStyle="1" w:styleId="IntenseEmphasis1">
    <w:name w:val="Intense Emphasis1"/>
    <w:uiPriority w:val="21"/>
    <w:qFormat/>
    <w:rsid w:val="00FD46A2"/>
    <w:rPr>
      <w:b/>
      <w:bCs/>
      <w:caps/>
      <w:color w:val="243F60"/>
      <w:spacing w:val="10"/>
    </w:rPr>
  </w:style>
  <w:style w:type="character" w:customStyle="1" w:styleId="SubtleReference1">
    <w:name w:val="Subtle Reference1"/>
    <w:uiPriority w:val="31"/>
    <w:qFormat/>
    <w:rsid w:val="00FD46A2"/>
    <w:rPr>
      <w:b/>
      <w:bCs/>
      <w:color w:val="4F81BD"/>
    </w:rPr>
  </w:style>
  <w:style w:type="character" w:customStyle="1" w:styleId="IntenseReference1">
    <w:name w:val="Intense Reference1"/>
    <w:uiPriority w:val="32"/>
    <w:qFormat/>
    <w:rsid w:val="00FD46A2"/>
    <w:rPr>
      <w:b/>
      <w:bCs/>
      <w:i/>
      <w:iCs/>
      <w:caps/>
      <w:color w:val="4F81BD"/>
    </w:rPr>
  </w:style>
  <w:style w:type="character" w:customStyle="1" w:styleId="Heading1Char1">
    <w:name w:val="Heading 1 Char1"/>
    <w:uiPriority w:val="9"/>
    <w:rsid w:val="00FD46A2"/>
    <w:rPr>
      <w:rFonts w:ascii="Cambria" w:eastAsia="Times New Roman" w:hAnsi="Cambria" w:cs="Times New Roman"/>
      <w:b/>
      <w:bCs/>
      <w:color w:val="365F91"/>
      <w:sz w:val="28"/>
      <w:szCs w:val="28"/>
      <w:lang w:bidi="en-US"/>
    </w:rPr>
  </w:style>
  <w:style w:type="paragraph" w:customStyle="1" w:styleId="normalbullet">
    <w:name w:val="normal bullet"/>
    <w:basedOn w:val="Normal"/>
    <w:link w:val="normalbulletChar"/>
    <w:qFormat/>
    <w:rsid w:val="00FD46A2"/>
    <w:pPr>
      <w:numPr>
        <w:numId w:val="14"/>
      </w:numPr>
      <w:spacing w:before="60" w:after="60" w:line="240" w:lineRule="auto"/>
    </w:pPr>
    <w:rPr>
      <w:rFonts w:ascii="Calibri" w:eastAsia="Times New Roman" w:hAnsi="Calibri" w:cs="Times New Roman"/>
      <w:sz w:val="20"/>
      <w:szCs w:val="20"/>
      <w:lang w:val="en-US" w:bidi="en-US"/>
    </w:rPr>
  </w:style>
  <w:style w:type="character" w:customStyle="1" w:styleId="normalbulletChar">
    <w:name w:val="normal bullet Char"/>
    <w:link w:val="normalbullet"/>
    <w:rsid w:val="00FD46A2"/>
    <w:rPr>
      <w:rFonts w:ascii="Calibri" w:eastAsia="Times New Roman" w:hAnsi="Calibri" w:cs="Times New Roman"/>
      <w:sz w:val="20"/>
      <w:szCs w:val="20"/>
      <w:lang w:val="en-US" w:bidi="en-US"/>
    </w:rPr>
  </w:style>
  <w:style w:type="paragraph" w:customStyle="1" w:styleId="Normalbullet0">
    <w:name w:val="Normal bullet"/>
    <w:basedOn w:val="Normal"/>
    <w:link w:val="NormalbulletChar0"/>
    <w:qFormat/>
    <w:rsid w:val="00FD46A2"/>
    <w:rPr>
      <w:rFonts w:ascii="Calibri" w:eastAsia="Times New Roman" w:hAnsi="Calibri" w:cs="Calibri"/>
      <w:bCs/>
      <w:lang w:val="en-US" w:bidi="en-US"/>
    </w:rPr>
  </w:style>
  <w:style w:type="character" w:customStyle="1" w:styleId="NormalbulletChar0">
    <w:name w:val="Normal bullet Char"/>
    <w:link w:val="Normalbullet0"/>
    <w:rsid w:val="00FD46A2"/>
    <w:rPr>
      <w:rFonts w:ascii="Calibri" w:eastAsia="Times New Roman" w:hAnsi="Calibri" w:cs="Calibri"/>
      <w:bCs/>
      <w:lang w:val="en-US" w:bidi="en-US"/>
    </w:rPr>
  </w:style>
  <w:style w:type="character" w:customStyle="1" w:styleId="FollowedHyperlink1">
    <w:name w:val="FollowedHyperlink1"/>
    <w:uiPriority w:val="99"/>
    <w:semiHidden/>
    <w:unhideWhenUsed/>
    <w:rsid w:val="00FD46A2"/>
    <w:rPr>
      <w:color w:val="800080"/>
      <w:u w:val="single"/>
    </w:rPr>
  </w:style>
  <w:style w:type="character" w:styleId="HTMLCite">
    <w:name w:val="HTML Cite"/>
    <w:uiPriority w:val="99"/>
    <w:unhideWhenUsed/>
    <w:rsid w:val="00FD46A2"/>
    <w:rPr>
      <w:i w:val="0"/>
      <w:iCs w:val="0"/>
      <w:color w:val="0E774A"/>
    </w:rPr>
  </w:style>
  <w:style w:type="paragraph" w:styleId="Revision">
    <w:name w:val="Revision"/>
    <w:hidden/>
    <w:uiPriority w:val="99"/>
    <w:semiHidden/>
    <w:rsid w:val="00FD46A2"/>
    <w:pPr>
      <w:spacing w:after="0" w:line="240" w:lineRule="auto"/>
    </w:pPr>
    <w:rPr>
      <w:rFonts w:ascii="Calibri" w:eastAsia="Times New Roman" w:hAnsi="Calibri" w:cs="Times New Roman"/>
      <w:sz w:val="20"/>
      <w:szCs w:val="20"/>
      <w:lang w:val="en-US" w:bidi="en-US"/>
    </w:rPr>
  </w:style>
  <w:style w:type="table" w:customStyle="1" w:styleId="LightList10">
    <w:name w:val="Light List1"/>
    <w:basedOn w:val="TableNormal"/>
    <w:uiPriority w:val="61"/>
    <w:rsid w:val="00FD46A2"/>
    <w:pPr>
      <w:spacing w:after="0" w:line="240" w:lineRule="auto"/>
    </w:pPr>
    <w:rPr>
      <w:rFonts w:ascii="Calibri" w:eastAsia="Times New Roman" w:hAnsi="Calibri" w:cs="Times New Roman"/>
      <w:lang w:eastAsia="en-GB"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LightList-Accent2"/>
    <w:uiPriority w:val="61"/>
    <w:rsid w:val="00FD46A2"/>
    <w:pPr>
      <w:spacing w:after="0" w:line="240" w:lineRule="auto"/>
    </w:pPr>
    <w:rPr>
      <w:rFonts w:ascii="Calibri" w:eastAsia="Times New Roman" w:hAnsi="Calibri" w:cs="Times New Roman"/>
      <w:lang w:eastAsia="en-GB"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FD46A2"/>
    <w:pPr>
      <w:spacing w:after="0" w:line="240" w:lineRule="auto"/>
    </w:pPr>
    <w:rPr>
      <w:rFonts w:ascii="Calibri" w:eastAsia="Times New Roman" w:hAnsi="Calibri" w:cs="Times New Roman"/>
      <w:lang w:eastAsia="en-GB" w:bidi="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FD46A2"/>
    <w:pPr>
      <w:spacing w:after="0" w:line="240" w:lineRule="auto"/>
    </w:pPr>
    <w:rPr>
      <w:rFonts w:ascii="Calibri" w:eastAsia="Times New Roman" w:hAnsi="Calibri" w:cs="Times New Roman"/>
      <w:color w:val="000000"/>
      <w:lang w:eastAsia="en-GB"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FD46A2"/>
    <w:pPr>
      <w:spacing w:after="0" w:line="240" w:lineRule="auto"/>
    </w:pPr>
    <w:rPr>
      <w:rFonts w:ascii="Calibri" w:eastAsia="Times New Roman" w:hAnsi="Calibri" w:cs="Times New Roman"/>
      <w:color w:val="000000"/>
      <w:lang w:eastAsia="en-GB" w:bidi="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FD46A2"/>
    <w:pPr>
      <w:spacing w:after="0" w:line="240" w:lineRule="auto"/>
    </w:pPr>
    <w:rPr>
      <w:rFonts w:ascii="Calibri" w:eastAsia="Times New Roman" w:hAnsi="Calibri" w:cs="Times New Roman"/>
      <w:color w:val="000000"/>
      <w:lang w:eastAsia="en-GB"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FD46A2"/>
    <w:pPr>
      <w:tabs>
        <w:tab w:val="left" w:pos="108"/>
      </w:tabs>
      <w:overflowPunct w:val="0"/>
      <w:autoSpaceDE w:val="0"/>
      <w:autoSpaceDN w:val="0"/>
      <w:adjustRightInd w:val="0"/>
      <w:spacing w:before="60" w:after="60" w:line="180" w:lineRule="exact"/>
      <w:ind w:left="187" w:right="72" w:hanging="115"/>
      <w:textAlignment w:val="baseline"/>
    </w:pPr>
    <w:rPr>
      <w:rFonts w:eastAsia="Times New Roman" w:cs="Times New Roman"/>
      <w:sz w:val="18"/>
      <w:szCs w:val="20"/>
      <w:lang w:val="fr-FR"/>
    </w:rPr>
  </w:style>
  <w:style w:type="paragraph" w:customStyle="1" w:styleId="Tableau-Texte">
    <w:name w:val="Tableau - Texte"/>
    <w:basedOn w:val="Normal"/>
    <w:rsid w:val="00FD46A2"/>
    <w:pPr>
      <w:overflowPunct w:val="0"/>
      <w:autoSpaceDE w:val="0"/>
      <w:autoSpaceDN w:val="0"/>
      <w:adjustRightInd w:val="0"/>
      <w:spacing w:before="60" w:after="60" w:line="180" w:lineRule="exact"/>
      <w:ind w:left="72" w:right="72"/>
      <w:textAlignment w:val="baseline"/>
    </w:pPr>
    <w:rPr>
      <w:rFonts w:eastAsia="Times New Roman" w:cs="Times New Roman"/>
      <w:sz w:val="18"/>
      <w:szCs w:val="20"/>
      <w:lang w:val="fr-FR"/>
    </w:rPr>
  </w:style>
  <w:style w:type="table" w:customStyle="1" w:styleId="MediumShading1-Accent11">
    <w:name w:val="Medium Shading 1 - Accent 11"/>
    <w:basedOn w:val="TableNormal"/>
    <w:uiPriority w:val="63"/>
    <w:rsid w:val="00FD46A2"/>
    <w:pPr>
      <w:spacing w:after="0" w:line="240" w:lineRule="auto"/>
    </w:pPr>
    <w:rPr>
      <w:rFonts w:ascii="Calibri" w:eastAsia="Times New Roman" w:hAnsi="Calibri" w:cs="Times New Roman"/>
      <w:lang w:eastAsia="en-GB"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uiPriority w:val="99"/>
    <w:semiHidden/>
    <w:rsid w:val="00FD46A2"/>
    <w:rPr>
      <w:color w:val="808080"/>
    </w:rPr>
  </w:style>
  <w:style w:type="character" w:customStyle="1" w:styleId="apple-style-span">
    <w:name w:val="apple-style-span"/>
    <w:basedOn w:val="DefaultParagraphFont"/>
    <w:rsid w:val="00FD46A2"/>
  </w:style>
  <w:style w:type="table" w:customStyle="1" w:styleId="LightShading1">
    <w:name w:val="Light Shading1"/>
    <w:basedOn w:val="TableNormal"/>
    <w:uiPriority w:val="60"/>
    <w:rsid w:val="00FD46A2"/>
    <w:pPr>
      <w:spacing w:after="0" w:line="240" w:lineRule="auto"/>
    </w:pPr>
    <w:rPr>
      <w:rFonts w:ascii="Calibri" w:eastAsia="Times New Roman" w:hAnsi="Calibri" w:cs="Times New Roman"/>
      <w:color w:val="000000"/>
      <w:lang w:eastAsia="en-GB"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unhideWhenUsed/>
    <w:rsid w:val="00FD46A2"/>
    <w:pPr>
      <w:spacing w:line="240" w:lineRule="auto"/>
    </w:pPr>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rsid w:val="00FD46A2"/>
    <w:rPr>
      <w:rFonts w:ascii="Tahoma" w:eastAsia="Times New Roman" w:hAnsi="Tahoma" w:cs="Tahoma"/>
      <w:sz w:val="16"/>
      <w:szCs w:val="16"/>
      <w:lang w:val="en-US" w:bidi="en-US"/>
    </w:rPr>
  </w:style>
  <w:style w:type="character" w:customStyle="1" w:styleId="Heading2Char1">
    <w:name w:val="Heading 2 Char1"/>
    <w:uiPriority w:val="9"/>
    <w:semiHidden/>
    <w:rsid w:val="00FD46A2"/>
    <w:rPr>
      <w:rFonts w:ascii="Cambria" w:eastAsia="Times New Roman" w:hAnsi="Cambria" w:cs="Times New Roman"/>
      <w:b/>
      <w:bCs/>
      <w:color w:val="4F81BD"/>
      <w:sz w:val="26"/>
      <w:szCs w:val="26"/>
    </w:rPr>
  </w:style>
  <w:style w:type="character" w:customStyle="1" w:styleId="Heading3Char1">
    <w:name w:val="Heading 3 Char1"/>
    <w:uiPriority w:val="9"/>
    <w:semiHidden/>
    <w:rsid w:val="00FD46A2"/>
    <w:rPr>
      <w:rFonts w:ascii="Cambria" w:eastAsia="Times New Roman" w:hAnsi="Cambria" w:cs="Times New Roman"/>
      <w:b/>
      <w:bCs/>
      <w:color w:val="4F81BD"/>
    </w:rPr>
  </w:style>
  <w:style w:type="character" w:customStyle="1" w:styleId="Heading4Char1">
    <w:name w:val="Heading 4 Char1"/>
    <w:uiPriority w:val="9"/>
    <w:semiHidden/>
    <w:rsid w:val="00FD46A2"/>
    <w:rPr>
      <w:rFonts w:ascii="Cambria" w:eastAsia="Times New Roman" w:hAnsi="Cambria" w:cs="Times New Roman"/>
      <w:b/>
      <w:bCs/>
      <w:i/>
      <w:iCs/>
      <w:color w:val="4F81BD"/>
    </w:rPr>
  </w:style>
  <w:style w:type="character" w:customStyle="1" w:styleId="Heading5Char1">
    <w:name w:val="Heading 5 Char1"/>
    <w:uiPriority w:val="9"/>
    <w:semiHidden/>
    <w:rsid w:val="00FD46A2"/>
    <w:rPr>
      <w:rFonts w:ascii="Cambria" w:eastAsia="Times New Roman" w:hAnsi="Cambria" w:cs="Times New Roman"/>
      <w:color w:val="243F60"/>
    </w:rPr>
  </w:style>
  <w:style w:type="character" w:customStyle="1" w:styleId="Heading6Char1">
    <w:name w:val="Heading 6 Char1"/>
    <w:uiPriority w:val="9"/>
    <w:semiHidden/>
    <w:rsid w:val="00FD46A2"/>
    <w:rPr>
      <w:rFonts w:ascii="Cambria" w:eastAsia="Times New Roman" w:hAnsi="Cambria" w:cs="Times New Roman"/>
      <w:i/>
      <w:iCs/>
      <w:color w:val="243F60"/>
    </w:rPr>
  </w:style>
  <w:style w:type="character" w:customStyle="1" w:styleId="Heading7Char1">
    <w:name w:val="Heading 7 Char1"/>
    <w:uiPriority w:val="9"/>
    <w:semiHidden/>
    <w:rsid w:val="00FD46A2"/>
    <w:rPr>
      <w:rFonts w:ascii="Cambria" w:eastAsia="Times New Roman" w:hAnsi="Cambria" w:cs="Times New Roman"/>
      <w:i/>
      <w:iCs/>
      <w:color w:val="404040"/>
    </w:rPr>
  </w:style>
  <w:style w:type="character" w:customStyle="1" w:styleId="TitleChar1">
    <w:name w:val="Title Char1"/>
    <w:uiPriority w:val="10"/>
    <w:rsid w:val="00FD46A2"/>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FD46A2"/>
    <w:rPr>
      <w:rFonts w:ascii="Cambria" w:eastAsia="Times New Roman" w:hAnsi="Cambria" w:cs="Times New Roman"/>
      <w:sz w:val="24"/>
      <w:szCs w:val="24"/>
    </w:rPr>
  </w:style>
  <w:style w:type="character" w:customStyle="1" w:styleId="IntenseQuoteChar1">
    <w:name w:val="Intense Quote Char1"/>
    <w:uiPriority w:val="30"/>
    <w:rsid w:val="00FD46A2"/>
    <w:rPr>
      <w:b/>
      <w:bCs/>
      <w:i/>
      <w:iCs/>
      <w:color w:val="4F81BD"/>
      <w:sz w:val="24"/>
      <w:szCs w:val="24"/>
    </w:rPr>
  </w:style>
  <w:style w:type="table" w:styleId="ColorfulGrid-Accent5">
    <w:name w:val="Colorful Grid Accent 5"/>
    <w:basedOn w:val="TableNormal"/>
    <w:uiPriority w:val="73"/>
    <w:rsid w:val="00FD46A2"/>
    <w:pPr>
      <w:spacing w:after="0" w:line="240" w:lineRule="auto"/>
    </w:pPr>
    <w:rPr>
      <w:rFonts w:ascii="Calibri" w:eastAsia="Calibri" w:hAnsi="Calibri" w:cs="Times New Roman"/>
      <w:color w:val="000000"/>
      <w:lang w:eastAsia="en-GB"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FD46A2"/>
    <w:pPr>
      <w:spacing w:after="0" w:line="240" w:lineRule="auto"/>
    </w:pPr>
    <w:rPr>
      <w:rFonts w:ascii="Calibri" w:eastAsia="Calibri" w:hAnsi="Calibri" w:cs="Times New Roman"/>
      <w:color w:val="000000"/>
      <w:lang w:eastAsia="en-GB"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ParaCharChar">
    <w:name w:val="Para Char Char"/>
    <w:basedOn w:val="Normal"/>
    <w:link w:val="ParaCharCharChar"/>
    <w:autoRedefine/>
    <w:rsid w:val="00A0462F"/>
    <w:pPr>
      <w:numPr>
        <w:numId w:val="23"/>
      </w:numPr>
      <w:spacing w:line="240" w:lineRule="auto"/>
      <w:ind w:right="-6"/>
      <w:jc w:val="both"/>
    </w:pPr>
    <w:rPr>
      <w:rFonts w:eastAsia="Arial Unicode MS" w:cs="Times New Roman"/>
      <w:iCs/>
      <w:noProof/>
      <w:lang w:val="en-US"/>
    </w:rPr>
  </w:style>
  <w:style w:type="paragraph" w:customStyle="1" w:styleId="FreeForm">
    <w:name w:val="Free Form"/>
    <w:rsid w:val="00F56B3E"/>
    <w:pPr>
      <w:spacing w:after="0" w:line="240" w:lineRule="auto"/>
    </w:pPr>
    <w:rPr>
      <w:rFonts w:ascii="Helvetica" w:eastAsia="ヒラギノ角ゴ Pro W3" w:hAnsi="Helvetica" w:cs="Times New Roman"/>
      <w:color w:val="000000"/>
      <w:sz w:val="24"/>
      <w:szCs w:val="20"/>
      <w:lang w:val="en-US"/>
    </w:rPr>
  </w:style>
  <w:style w:type="character" w:customStyle="1" w:styleId="ParaCharCharChar">
    <w:name w:val="Para Char Char Char"/>
    <w:link w:val="ParaCharChar"/>
    <w:locked/>
    <w:rsid w:val="00F56B3E"/>
    <w:rPr>
      <w:rFonts w:ascii="Times New Roman" w:eastAsia="Arial Unicode MS" w:hAnsi="Times New Roman" w:cs="Times New Roman"/>
      <w:iCs/>
      <w:noProof/>
      <w:lang w:val="en-US"/>
    </w:rPr>
  </w:style>
  <w:style w:type="character" w:customStyle="1" w:styleId="Schedule">
    <w:name w:val="Schedule"/>
    <w:rsid w:val="00D8473D"/>
    <w:rPr>
      <w:rFonts w:ascii="Tahoma" w:hAnsi="Tahoma"/>
      <w:color w:val="000000"/>
    </w:rPr>
  </w:style>
  <w:style w:type="character" w:customStyle="1" w:styleId="Presentation">
    <w:name w:val="Presentation"/>
    <w:rsid w:val="00D8473D"/>
    <w:rPr>
      <w:rFonts w:ascii="Tahoma" w:hAnsi="Tahoma"/>
      <w:b/>
      <w:bCs/>
      <w:color w:val="000000"/>
    </w:rPr>
  </w:style>
  <w:style w:type="table" w:customStyle="1" w:styleId="TableGrid1">
    <w:name w:val="Table Grid1"/>
    <w:basedOn w:val="TableNormal"/>
    <w:next w:val="TableGrid"/>
    <w:rsid w:val="008221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730">
      <w:bodyDiv w:val="1"/>
      <w:marLeft w:val="0"/>
      <w:marRight w:val="0"/>
      <w:marTop w:val="0"/>
      <w:marBottom w:val="0"/>
      <w:divBdr>
        <w:top w:val="none" w:sz="0" w:space="0" w:color="auto"/>
        <w:left w:val="none" w:sz="0" w:space="0" w:color="auto"/>
        <w:bottom w:val="none" w:sz="0" w:space="0" w:color="auto"/>
        <w:right w:val="none" w:sz="0" w:space="0" w:color="auto"/>
      </w:divBdr>
    </w:div>
    <w:div w:id="44960047">
      <w:bodyDiv w:val="1"/>
      <w:marLeft w:val="0"/>
      <w:marRight w:val="0"/>
      <w:marTop w:val="0"/>
      <w:marBottom w:val="0"/>
      <w:divBdr>
        <w:top w:val="none" w:sz="0" w:space="0" w:color="auto"/>
        <w:left w:val="none" w:sz="0" w:space="0" w:color="auto"/>
        <w:bottom w:val="none" w:sz="0" w:space="0" w:color="auto"/>
        <w:right w:val="none" w:sz="0" w:space="0" w:color="auto"/>
      </w:divBdr>
    </w:div>
    <w:div w:id="55249467">
      <w:bodyDiv w:val="1"/>
      <w:marLeft w:val="0"/>
      <w:marRight w:val="0"/>
      <w:marTop w:val="0"/>
      <w:marBottom w:val="0"/>
      <w:divBdr>
        <w:top w:val="none" w:sz="0" w:space="0" w:color="auto"/>
        <w:left w:val="none" w:sz="0" w:space="0" w:color="auto"/>
        <w:bottom w:val="none" w:sz="0" w:space="0" w:color="auto"/>
        <w:right w:val="none" w:sz="0" w:space="0" w:color="auto"/>
      </w:divBdr>
    </w:div>
    <w:div w:id="76563821">
      <w:bodyDiv w:val="1"/>
      <w:marLeft w:val="0"/>
      <w:marRight w:val="0"/>
      <w:marTop w:val="0"/>
      <w:marBottom w:val="0"/>
      <w:divBdr>
        <w:top w:val="none" w:sz="0" w:space="0" w:color="auto"/>
        <w:left w:val="none" w:sz="0" w:space="0" w:color="auto"/>
        <w:bottom w:val="none" w:sz="0" w:space="0" w:color="auto"/>
        <w:right w:val="none" w:sz="0" w:space="0" w:color="auto"/>
      </w:divBdr>
    </w:div>
    <w:div w:id="104934687">
      <w:bodyDiv w:val="1"/>
      <w:marLeft w:val="0"/>
      <w:marRight w:val="0"/>
      <w:marTop w:val="0"/>
      <w:marBottom w:val="0"/>
      <w:divBdr>
        <w:top w:val="none" w:sz="0" w:space="0" w:color="auto"/>
        <w:left w:val="none" w:sz="0" w:space="0" w:color="auto"/>
        <w:bottom w:val="none" w:sz="0" w:space="0" w:color="auto"/>
        <w:right w:val="none" w:sz="0" w:space="0" w:color="auto"/>
      </w:divBdr>
    </w:div>
    <w:div w:id="173109727">
      <w:bodyDiv w:val="1"/>
      <w:marLeft w:val="0"/>
      <w:marRight w:val="0"/>
      <w:marTop w:val="0"/>
      <w:marBottom w:val="0"/>
      <w:divBdr>
        <w:top w:val="none" w:sz="0" w:space="0" w:color="auto"/>
        <w:left w:val="none" w:sz="0" w:space="0" w:color="auto"/>
        <w:bottom w:val="none" w:sz="0" w:space="0" w:color="auto"/>
        <w:right w:val="none" w:sz="0" w:space="0" w:color="auto"/>
      </w:divBdr>
    </w:div>
    <w:div w:id="257636194">
      <w:bodyDiv w:val="1"/>
      <w:marLeft w:val="0"/>
      <w:marRight w:val="0"/>
      <w:marTop w:val="0"/>
      <w:marBottom w:val="0"/>
      <w:divBdr>
        <w:top w:val="none" w:sz="0" w:space="0" w:color="auto"/>
        <w:left w:val="none" w:sz="0" w:space="0" w:color="auto"/>
        <w:bottom w:val="none" w:sz="0" w:space="0" w:color="auto"/>
        <w:right w:val="none" w:sz="0" w:space="0" w:color="auto"/>
      </w:divBdr>
    </w:div>
    <w:div w:id="273757059">
      <w:bodyDiv w:val="1"/>
      <w:marLeft w:val="0"/>
      <w:marRight w:val="0"/>
      <w:marTop w:val="0"/>
      <w:marBottom w:val="0"/>
      <w:divBdr>
        <w:top w:val="none" w:sz="0" w:space="0" w:color="auto"/>
        <w:left w:val="none" w:sz="0" w:space="0" w:color="auto"/>
        <w:bottom w:val="none" w:sz="0" w:space="0" w:color="auto"/>
        <w:right w:val="none" w:sz="0" w:space="0" w:color="auto"/>
      </w:divBdr>
      <w:divsChild>
        <w:div w:id="132406581">
          <w:marLeft w:val="0"/>
          <w:marRight w:val="0"/>
          <w:marTop w:val="0"/>
          <w:marBottom w:val="0"/>
          <w:divBdr>
            <w:top w:val="none" w:sz="0" w:space="0" w:color="auto"/>
            <w:left w:val="none" w:sz="0" w:space="0" w:color="auto"/>
            <w:bottom w:val="none" w:sz="0" w:space="0" w:color="auto"/>
            <w:right w:val="none" w:sz="0" w:space="0" w:color="auto"/>
          </w:divBdr>
        </w:div>
        <w:div w:id="1673530230">
          <w:marLeft w:val="0"/>
          <w:marRight w:val="0"/>
          <w:marTop w:val="0"/>
          <w:marBottom w:val="0"/>
          <w:divBdr>
            <w:top w:val="none" w:sz="0" w:space="0" w:color="auto"/>
            <w:left w:val="none" w:sz="0" w:space="0" w:color="auto"/>
            <w:bottom w:val="none" w:sz="0" w:space="0" w:color="auto"/>
            <w:right w:val="none" w:sz="0" w:space="0" w:color="auto"/>
          </w:divBdr>
        </w:div>
        <w:div w:id="777990109">
          <w:marLeft w:val="0"/>
          <w:marRight w:val="0"/>
          <w:marTop w:val="0"/>
          <w:marBottom w:val="0"/>
          <w:divBdr>
            <w:top w:val="none" w:sz="0" w:space="0" w:color="auto"/>
            <w:left w:val="none" w:sz="0" w:space="0" w:color="auto"/>
            <w:bottom w:val="none" w:sz="0" w:space="0" w:color="auto"/>
            <w:right w:val="none" w:sz="0" w:space="0" w:color="auto"/>
          </w:divBdr>
        </w:div>
        <w:div w:id="916325178">
          <w:marLeft w:val="0"/>
          <w:marRight w:val="0"/>
          <w:marTop w:val="0"/>
          <w:marBottom w:val="0"/>
          <w:divBdr>
            <w:top w:val="none" w:sz="0" w:space="0" w:color="auto"/>
            <w:left w:val="none" w:sz="0" w:space="0" w:color="auto"/>
            <w:bottom w:val="none" w:sz="0" w:space="0" w:color="auto"/>
            <w:right w:val="none" w:sz="0" w:space="0" w:color="auto"/>
          </w:divBdr>
        </w:div>
        <w:div w:id="1085146733">
          <w:marLeft w:val="0"/>
          <w:marRight w:val="0"/>
          <w:marTop w:val="0"/>
          <w:marBottom w:val="0"/>
          <w:divBdr>
            <w:top w:val="none" w:sz="0" w:space="0" w:color="auto"/>
            <w:left w:val="none" w:sz="0" w:space="0" w:color="auto"/>
            <w:bottom w:val="none" w:sz="0" w:space="0" w:color="auto"/>
            <w:right w:val="none" w:sz="0" w:space="0" w:color="auto"/>
          </w:divBdr>
        </w:div>
      </w:divsChild>
    </w:div>
    <w:div w:id="294799682">
      <w:bodyDiv w:val="1"/>
      <w:marLeft w:val="0"/>
      <w:marRight w:val="0"/>
      <w:marTop w:val="0"/>
      <w:marBottom w:val="0"/>
      <w:divBdr>
        <w:top w:val="none" w:sz="0" w:space="0" w:color="auto"/>
        <w:left w:val="none" w:sz="0" w:space="0" w:color="auto"/>
        <w:bottom w:val="none" w:sz="0" w:space="0" w:color="auto"/>
        <w:right w:val="none" w:sz="0" w:space="0" w:color="auto"/>
      </w:divBdr>
    </w:div>
    <w:div w:id="337657683">
      <w:bodyDiv w:val="1"/>
      <w:marLeft w:val="0"/>
      <w:marRight w:val="0"/>
      <w:marTop w:val="0"/>
      <w:marBottom w:val="0"/>
      <w:divBdr>
        <w:top w:val="none" w:sz="0" w:space="0" w:color="auto"/>
        <w:left w:val="none" w:sz="0" w:space="0" w:color="auto"/>
        <w:bottom w:val="none" w:sz="0" w:space="0" w:color="auto"/>
        <w:right w:val="none" w:sz="0" w:space="0" w:color="auto"/>
      </w:divBdr>
    </w:div>
    <w:div w:id="355735158">
      <w:bodyDiv w:val="1"/>
      <w:marLeft w:val="0"/>
      <w:marRight w:val="0"/>
      <w:marTop w:val="0"/>
      <w:marBottom w:val="0"/>
      <w:divBdr>
        <w:top w:val="none" w:sz="0" w:space="0" w:color="auto"/>
        <w:left w:val="none" w:sz="0" w:space="0" w:color="auto"/>
        <w:bottom w:val="none" w:sz="0" w:space="0" w:color="auto"/>
        <w:right w:val="none" w:sz="0" w:space="0" w:color="auto"/>
      </w:divBdr>
    </w:div>
    <w:div w:id="512841405">
      <w:bodyDiv w:val="1"/>
      <w:marLeft w:val="0"/>
      <w:marRight w:val="0"/>
      <w:marTop w:val="0"/>
      <w:marBottom w:val="0"/>
      <w:divBdr>
        <w:top w:val="none" w:sz="0" w:space="0" w:color="auto"/>
        <w:left w:val="none" w:sz="0" w:space="0" w:color="auto"/>
        <w:bottom w:val="none" w:sz="0" w:space="0" w:color="auto"/>
        <w:right w:val="none" w:sz="0" w:space="0" w:color="auto"/>
      </w:divBdr>
    </w:div>
    <w:div w:id="520241548">
      <w:bodyDiv w:val="1"/>
      <w:marLeft w:val="0"/>
      <w:marRight w:val="0"/>
      <w:marTop w:val="0"/>
      <w:marBottom w:val="0"/>
      <w:divBdr>
        <w:top w:val="none" w:sz="0" w:space="0" w:color="auto"/>
        <w:left w:val="none" w:sz="0" w:space="0" w:color="auto"/>
        <w:bottom w:val="none" w:sz="0" w:space="0" w:color="auto"/>
        <w:right w:val="none" w:sz="0" w:space="0" w:color="auto"/>
      </w:divBdr>
    </w:div>
    <w:div w:id="545945149">
      <w:bodyDiv w:val="1"/>
      <w:marLeft w:val="0"/>
      <w:marRight w:val="0"/>
      <w:marTop w:val="0"/>
      <w:marBottom w:val="0"/>
      <w:divBdr>
        <w:top w:val="none" w:sz="0" w:space="0" w:color="auto"/>
        <w:left w:val="none" w:sz="0" w:space="0" w:color="auto"/>
        <w:bottom w:val="none" w:sz="0" w:space="0" w:color="auto"/>
        <w:right w:val="none" w:sz="0" w:space="0" w:color="auto"/>
      </w:divBdr>
    </w:div>
    <w:div w:id="587155954">
      <w:bodyDiv w:val="1"/>
      <w:marLeft w:val="0"/>
      <w:marRight w:val="0"/>
      <w:marTop w:val="0"/>
      <w:marBottom w:val="0"/>
      <w:divBdr>
        <w:top w:val="none" w:sz="0" w:space="0" w:color="auto"/>
        <w:left w:val="none" w:sz="0" w:space="0" w:color="auto"/>
        <w:bottom w:val="none" w:sz="0" w:space="0" w:color="auto"/>
        <w:right w:val="none" w:sz="0" w:space="0" w:color="auto"/>
      </w:divBdr>
    </w:div>
    <w:div w:id="606935758">
      <w:bodyDiv w:val="1"/>
      <w:marLeft w:val="0"/>
      <w:marRight w:val="0"/>
      <w:marTop w:val="0"/>
      <w:marBottom w:val="0"/>
      <w:divBdr>
        <w:top w:val="none" w:sz="0" w:space="0" w:color="auto"/>
        <w:left w:val="none" w:sz="0" w:space="0" w:color="auto"/>
        <w:bottom w:val="none" w:sz="0" w:space="0" w:color="auto"/>
        <w:right w:val="none" w:sz="0" w:space="0" w:color="auto"/>
      </w:divBdr>
    </w:div>
    <w:div w:id="629701556">
      <w:bodyDiv w:val="1"/>
      <w:marLeft w:val="0"/>
      <w:marRight w:val="0"/>
      <w:marTop w:val="0"/>
      <w:marBottom w:val="0"/>
      <w:divBdr>
        <w:top w:val="none" w:sz="0" w:space="0" w:color="auto"/>
        <w:left w:val="none" w:sz="0" w:space="0" w:color="auto"/>
        <w:bottom w:val="none" w:sz="0" w:space="0" w:color="auto"/>
        <w:right w:val="none" w:sz="0" w:space="0" w:color="auto"/>
      </w:divBdr>
    </w:div>
    <w:div w:id="737167821">
      <w:bodyDiv w:val="1"/>
      <w:marLeft w:val="0"/>
      <w:marRight w:val="0"/>
      <w:marTop w:val="0"/>
      <w:marBottom w:val="0"/>
      <w:divBdr>
        <w:top w:val="none" w:sz="0" w:space="0" w:color="auto"/>
        <w:left w:val="none" w:sz="0" w:space="0" w:color="auto"/>
        <w:bottom w:val="none" w:sz="0" w:space="0" w:color="auto"/>
        <w:right w:val="none" w:sz="0" w:space="0" w:color="auto"/>
      </w:divBdr>
    </w:div>
    <w:div w:id="744498243">
      <w:bodyDiv w:val="1"/>
      <w:marLeft w:val="0"/>
      <w:marRight w:val="0"/>
      <w:marTop w:val="0"/>
      <w:marBottom w:val="0"/>
      <w:divBdr>
        <w:top w:val="none" w:sz="0" w:space="0" w:color="auto"/>
        <w:left w:val="none" w:sz="0" w:space="0" w:color="auto"/>
        <w:bottom w:val="none" w:sz="0" w:space="0" w:color="auto"/>
        <w:right w:val="none" w:sz="0" w:space="0" w:color="auto"/>
      </w:divBdr>
    </w:div>
    <w:div w:id="848257317">
      <w:bodyDiv w:val="1"/>
      <w:marLeft w:val="0"/>
      <w:marRight w:val="0"/>
      <w:marTop w:val="0"/>
      <w:marBottom w:val="0"/>
      <w:divBdr>
        <w:top w:val="none" w:sz="0" w:space="0" w:color="auto"/>
        <w:left w:val="none" w:sz="0" w:space="0" w:color="auto"/>
        <w:bottom w:val="none" w:sz="0" w:space="0" w:color="auto"/>
        <w:right w:val="none" w:sz="0" w:space="0" w:color="auto"/>
      </w:divBdr>
      <w:divsChild>
        <w:div w:id="1954436670">
          <w:marLeft w:val="0"/>
          <w:marRight w:val="0"/>
          <w:marTop w:val="0"/>
          <w:marBottom w:val="0"/>
          <w:divBdr>
            <w:top w:val="none" w:sz="0" w:space="0" w:color="auto"/>
            <w:left w:val="none" w:sz="0" w:space="0" w:color="auto"/>
            <w:bottom w:val="none" w:sz="0" w:space="0" w:color="auto"/>
            <w:right w:val="none" w:sz="0" w:space="0" w:color="auto"/>
          </w:divBdr>
          <w:divsChild>
            <w:div w:id="1330670022">
              <w:marLeft w:val="0"/>
              <w:marRight w:val="0"/>
              <w:marTop w:val="0"/>
              <w:marBottom w:val="0"/>
              <w:divBdr>
                <w:top w:val="none" w:sz="0" w:space="0" w:color="auto"/>
                <w:left w:val="none" w:sz="0" w:space="0" w:color="auto"/>
                <w:bottom w:val="none" w:sz="0" w:space="0" w:color="auto"/>
                <w:right w:val="none" w:sz="0" w:space="0" w:color="auto"/>
              </w:divBdr>
              <w:divsChild>
                <w:div w:id="500924347">
                  <w:marLeft w:val="0"/>
                  <w:marRight w:val="0"/>
                  <w:marTop w:val="0"/>
                  <w:marBottom w:val="0"/>
                  <w:divBdr>
                    <w:top w:val="none" w:sz="0" w:space="0" w:color="auto"/>
                    <w:left w:val="none" w:sz="0" w:space="0" w:color="auto"/>
                    <w:bottom w:val="none" w:sz="0" w:space="0" w:color="auto"/>
                    <w:right w:val="none" w:sz="0" w:space="0" w:color="auto"/>
                  </w:divBdr>
                  <w:divsChild>
                    <w:div w:id="1459254408">
                      <w:marLeft w:val="0"/>
                      <w:marRight w:val="0"/>
                      <w:marTop w:val="0"/>
                      <w:marBottom w:val="0"/>
                      <w:divBdr>
                        <w:top w:val="none" w:sz="0" w:space="0" w:color="auto"/>
                        <w:left w:val="none" w:sz="0" w:space="0" w:color="auto"/>
                        <w:bottom w:val="none" w:sz="0" w:space="0" w:color="auto"/>
                        <w:right w:val="none" w:sz="0" w:space="0" w:color="auto"/>
                      </w:divBdr>
                      <w:divsChild>
                        <w:div w:id="1784685258">
                          <w:marLeft w:val="0"/>
                          <w:marRight w:val="0"/>
                          <w:marTop w:val="0"/>
                          <w:marBottom w:val="0"/>
                          <w:divBdr>
                            <w:top w:val="none" w:sz="0" w:space="0" w:color="auto"/>
                            <w:left w:val="none" w:sz="0" w:space="0" w:color="auto"/>
                            <w:bottom w:val="none" w:sz="0" w:space="0" w:color="auto"/>
                            <w:right w:val="none" w:sz="0" w:space="0" w:color="auto"/>
                          </w:divBdr>
                          <w:divsChild>
                            <w:div w:id="1557931262">
                              <w:marLeft w:val="0"/>
                              <w:marRight w:val="0"/>
                              <w:marTop w:val="0"/>
                              <w:marBottom w:val="0"/>
                              <w:divBdr>
                                <w:top w:val="none" w:sz="0" w:space="0" w:color="auto"/>
                                <w:left w:val="none" w:sz="0" w:space="0" w:color="auto"/>
                                <w:bottom w:val="none" w:sz="0" w:space="0" w:color="auto"/>
                                <w:right w:val="none" w:sz="0" w:space="0" w:color="auto"/>
                              </w:divBdr>
                            </w:div>
                            <w:div w:id="475687729">
                              <w:marLeft w:val="0"/>
                              <w:marRight w:val="0"/>
                              <w:marTop w:val="0"/>
                              <w:marBottom w:val="0"/>
                              <w:divBdr>
                                <w:top w:val="none" w:sz="0" w:space="0" w:color="auto"/>
                                <w:left w:val="none" w:sz="0" w:space="0" w:color="auto"/>
                                <w:bottom w:val="none" w:sz="0" w:space="0" w:color="auto"/>
                                <w:right w:val="none" w:sz="0" w:space="0" w:color="auto"/>
                              </w:divBdr>
                              <w:divsChild>
                                <w:div w:id="8979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1173">
                          <w:marLeft w:val="0"/>
                          <w:marRight w:val="0"/>
                          <w:marTop w:val="0"/>
                          <w:marBottom w:val="0"/>
                          <w:divBdr>
                            <w:top w:val="none" w:sz="0" w:space="0" w:color="auto"/>
                            <w:left w:val="none" w:sz="0" w:space="0" w:color="auto"/>
                            <w:bottom w:val="none" w:sz="0" w:space="0" w:color="auto"/>
                            <w:right w:val="none" w:sz="0" w:space="0" w:color="auto"/>
                          </w:divBdr>
                          <w:divsChild>
                            <w:div w:id="575433103">
                              <w:marLeft w:val="0"/>
                              <w:marRight w:val="0"/>
                              <w:marTop w:val="0"/>
                              <w:marBottom w:val="0"/>
                              <w:divBdr>
                                <w:top w:val="none" w:sz="0" w:space="0" w:color="auto"/>
                                <w:left w:val="none" w:sz="0" w:space="0" w:color="auto"/>
                                <w:bottom w:val="none" w:sz="0" w:space="0" w:color="auto"/>
                                <w:right w:val="none" w:sz="0" w:space="0" w:color="auto"/>
                              </w:divBdr>
                            </w:div>
                          </w:divsChild>
                        </w:div>
                        <w:div w:id="1754081799">
                          <w:marLeft w:val="0"/>
                          <w:marRight w:val="0"/>
                          <w:marTop w:val="0"/>
                          <w:marBottom w:val="0"/>
                          <w:divBdr>
                            <w:top w:val="none" w:sz="0" w:space="0" w:color="auto"/>
                            <w:left w:val="none" w:sz="0" w:space="0" w:color="auto"/>
                            <w:bottom w:val="none" w:sz="0" w:space="0" w:color="auto"/>
                            <w:right w:val="none" w:sz="0" w:space="0" w:color="auto"/>
                          </w:divBdr>
                          <w:divsChild>
                            <w:div w:id="1395422519">
                              <w:marLeft w:val="0"/>
                              <w:marRight w:val="0"/>
                              <w:marTop w:val="0"/>
                              <w:marBottom w:val="0"/>
                              <w:divBdr>
                                <w:top w:val="none" w:sz="0" w:space="0" w:color="auto"/>
                                <w:left w:val="none" w:sz="0" w:space="0" w:color="auto"/>
                                <w:bottom w:val="none" w:sz="0" w:space="0" w:color="auto"/>
                                <w:right w:val="none" w:sz="0" w:space="0" w:color="auto"/>
                              </w:divBdr>
                              <w:divsChild>
                                <w:div w:id="136801073">
                                  <w:marLeft w:val="0"/>
                                  <w:marRight w:val="0"/>
                                  <w:marTop w:val="0"/>
                                  <w:marBottom w:val="0"/>
                                  <w:divBdr>
                                    <w:top w:val="none" w:sz="0" w:space="0" w:color="auto"/>
                                    <w:left w:val="none" w:sz="0" w:space="0" w:color="auto"/>
                                    <w:bottom w:val="none" w:sz="0" w:space="0" w:color="auto"/>
                                    <w:right w:val="none" w:sz="0" w:space="0" w:color="auto"/>
                                  </w:divBdr>
                                  <w:divsChild>
                                    <w:div w:id="644549513">
                                      <w:marLeft w:val="0"/>
                                      <w:marRight w:val="0"/>
                                      <w:marTop w:val="0"/>
                                      <w:marBottom w:val="0"/>
                                      <w:divBdr>
                                        <w:top w:val="none" w:sz="0" w:space="0" w:color="auto"/>
                                        <w:left w:val="none" w:sz="0" w:space="0" w:color="auto"/>
                                        <w:bottom w:val="none" w:sz="0" w:space="0" w:color="auto"/>
                                        <w:right w:val="none" w:sz="0" w:space="0" w:color="auto"/>
                                      </w:divBdr>
                                      <w:divsChild>
                                        <w:div w:id="1555198965">
                                          <w:marLeft w:val="0"/>
                                          <w:marRight w:val="0"/>
                                          <w:marTop w:val="0"/>
                                          <w:marBottom w:val="0"/>
                                          <w:divBdr>
                                            <w:top w:val="none" w:sz="0" w:space="0" w:color="auto"/>
                                            <w:left w:val="none" w:sz="0" w:space="0" w:color="auto"/>
                                            <w:bottom w:val="none" w:sz="0" w:space="0" w:color="auto"/>
                                            <w:right w:val="none" w:sz="0" w:space="0" w:color="auto"/>
                                          </w:divBdr>
                                          <w:divsChild>
                                            <w:div w:id="564142323">
                                              <w:marLeft w:val="0"/>
                                              <w:marRight w:val="0"/>
                                              <w:marTop w:val="0"/>
                                              <w:marBottom w:val="0"/>
                                              <w:divBdr>
                                                <w:top w:val="none" w:sz="0" w:space="0" w:color="auto"/>
                                                <w:left w:val="none" w:sz="0" w:space="0" w:color="auto"/>
                                                <w:bottom w:val="none" w:sz="0" w:space="0" w:color="auto"/>
                                                <w:right w:val="none" w:sz="0" w:space="0" w:color="auto"/>
                                              </w:divBdr>
                                              <w:divsChild>
                                                <w:div w:id="1753354602">
                                                  <w:marLeft w:val="0"/>
                                                  <w:marRight w:val="0"/>
                                                  <w:marTop w:val="0"/>
                                                  <w:marBottom w:val="0"/>
                                                  <w:divBdr>
                                                    <w:top w:val="none" w:sz="0" w:space="0" w:color="auto"/>
                                                    <w:left w:val="none" w:sz="0" w:space="0" w:color="auto"/>
                                                    <w:bottom w:val="none" w:sz="0" w:space="0" w:color="auto"/>
                                                    <w:right w:val="none" w:sz="0" w:space="0" w:color="auto"/>
                                                  </w:divBdr>
                                                </w:div>
                                              </w:divsChild>
                                            </w:div>
                                            <w:div w:id="1750274452">
                                              <w:marLeft w:val="0"/>
                                              <w:marRight w:val="0"/>
                                              <w:marTop w:val="0"/>
                                              <w:marBottom w:val="0"/>
                                              <w:divBdr>
                                                <w:top w:val="none" w:sz="0" w:space="0" w:color="auto"/>
                                                <w:left w:val="none" w:sz="0" w:space="0" w:color="auto"/>
                                                <w:bottom w:val="none" w:sz="0" w:space="0" w:color="auto"/>
                                                <w:right w:val="none" w:sz="0" w:space="0" w:color="auto"/>
                                              </w:divBdr>
                                              <w:divsChild>
                                                <w:div w:id="4972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439409">
      <w:bodyDiv w:val="1"/>
      <w:marLeft w:val="0"/>
      <w:marRight w:val="0"/>
      <w:marTop w:val="0"/>
      <w:marBottom w:val="0"/>
      <w:divBdr>
        <w:top w:val="none" w:sz="0" w:space="0" w:color="auto"/>
        <w:left w:val="none" w:sz="0" w:space="0" w:color="auto"/>
        <w:bottom w:val="none" w:sz="0" w:space="0" w:color="auto"/>
        <w:right w:val="none" w:sz="0" w:space="0" w:color="auto"/>
      </w:divBdr>
    </w:div>
    <w:div w:id="961425937">
      <w:bodyDiv w:val="1"/>
      <w:marLeft w:val="0"/>
      <w:marRight w:val="0"/>
      <w:marTop w:val="0"/>
      <w:marBottom w:val="0"/>
      <w:divBdr>
        <w:top w:val="none" w:sz="0" w:space="0" w:color="auto"/>
        <w:left w:val="none" w:sz="0" w:space="0" w:color="auto"/>
        <w:bottom w:val="none" w:sz="0" w:space="0" w:color="auto"/>
        <w:right w:val="none" w:sz="0" w:space="0" w:color="auto"/>
      </w:divBdr>
    </w:div>
    <w:div w:id="1037776995">
      <w:bodyDiv w:val="1"/>
      <w:marLeft w:val="0"/>
      <w:marRight w:val="0"/>
      <w:marTop w:val="0"/>
      <w:marBottom w:val="0"/>
      <w:divBdr>
        <w:top w:val="none" w:sz="0" w:space="0" w:color="auto"/>
        <w:left w:val="none" w:sz="0" w:space="0" w:color="auto"/>
        <w:bottom w:val="none" w:sz="0" w:space="0" w:color="auto"/>
        <w:right w:val="none" w:sz="0" w:space="0" w:color="auto"/>
      </w:divBdr>
    </w:div>
    <w:div w:id="1046636890">
      <w:bodyDiv w:val="1"/>
      <w:marLeft w:val="0"/>
      <w:marRight w:val="0"/>
      <w:marTop w:val="0"/>
      <w:marBottom w:val="0"/>
      <w:divBdr>
        <w:top w:val="none" w:sz="0" w:space="0" w:color="auto"/>
        <w:left w:val="none" w:sz="0" w:space="0" w:color="auto"/>
        <w:bottom w:val="none" w:sz="0" w:space="0" w:color="auto"/>
        <w:right w:val="none" w:sz="0" w:space="0" w:color="auto"/>
      </w:divBdr>
    </w:div>
    <w:div w:id="1086152047">
      <w:bodyDiv w:val="1"/>
      <w:marLeft w:val="0"/>
      <w:marRight w:val="0"/>
      <w:marTop w:val="0"/>
      <w:marBottom w:val="0"/>
      <w:divBdr>
        <w:top w:val="none" w:sz="0" w:space="0" w:color="auto"/>
        <w:left w:val="none" w:sz="0" w:space="0" w:color="auto"/>
        <w:bottom w:val="none" w:sz="0" w:space="0" w:color="auto"/>
        <w:right w:val="none" w:sz="0" w:space="0" w:color="auto"/>
      </w:divBdr>
    </w:div>
    <w:div w:id="1179663192">
      <w:bodyDiv w:val="1"/>
      <w:marLeft w:val="0"/>
      <w:marRight w:val="0"/>
      <w:marTop w:val="0"/>
      <w:marBottom w:val="0"/>
      <w:divBdr>
        <w:top w:val="none" w:sz="0" w:space="0" w:color="auto"/>
        <w:left w:val="none" w:sz="0" w:space="0" w:color="auto"/>
        <w:bottom w:val="none" w:sz="0" w:space="0" w:color="auto"/>
        <w:right w:val="none" w:sz="0" w:space="0" w:color="auto"/>
      </w:divBdr>
    </w:div>
    <w:div w:id="1223056282">
      <w:bodyDiv w:val="1"/>
      <w:marLeft w:val="0"/>
      <w:marRight w:val="0"/>
      <w:marTop w:val="0"/>
      <w:marBottom w:val="0"/>
      <w:divBdr>
        <w:top w:val="none" w:sz="0" w:space="0" w:color="auto"/>
        <w:left w:val="none" w:sz="0" w:space="0" w:color="auto"/>
        <w:bottom w:val="none" w:sz="0" w:space="0" w:color="auto"/>
        <w:right w:val="none" w:sz="0" w:space="0" w:color="auto"/>
      </w:divBdr>
    </w:div>
    <w:div w:id="1389568234">
      <w:bodyDiv w:val="1"/>
      <w:marLeft w:val="0"/>
      <w:marRight w:val="0"/>
      <w:marTop w:val="0"/>
      <w:marBottom w:val="0"/>
      <w:divBdr>
        <w:top w:val="none" w:sz="0" w:space="0" w:color="auto"/>
        <w:left w:val="none" w:sz="0" w:space="0" w:color="auto"/>
        <w:bottom w:val="none" w:sz="0" w:space="0" w:color="auto"/>
        <w:right w:val="none" w:sz="0" w:space="0" w:color="auto"/>
      </w:divBdr>
    </w:div>
    <w:div w:id="1421759280">
      <w:bodyDiv w:val="1"/>
      <w:marLeft w:val="0"/>
      <w:marRight w:val="0"/>
      <w:marTop w:val="0"/>
      <w:marBottom w:val="0"/>
      <w:divBdr>
        <w:top w:val="none" w:sz="0" w:space="0" w:color="auto"/>
        <w:left w:val="none" w:sz="0" w:space="0" w:color="auto"/>
        <w:bottom w:val="none" w:sz="0" w:space="0" w:color="auto"/>
        <w:right w:val="none" w:sz="0" w:space="0" w:color="auto"/>
      </w:divBdr>
    </w:div>
    <w:div w:id="1578251633">
      <w:bodyDiv w:val="1"/>
      <w:marLeft w:val="0"/>
      <w:marRight w:val="0"/>
      <w:marTop w:val="0"/>
      <w:marBottom w:val="0"/>
      <w:divBdr>
        <w:top w:val="none" w:sz="0" w:space="0" w:color="auto"/>
        <w:left w:val="none" w:sz="0" w:space="0" w:color="auto"/>
        <w:bottom w:val="none" w:sz="0" w:space="0" w:color="auto"/>
        <w:right w:val="none" w:sz="0" w:space="0" w:color="auto"/>
      </w:divBdr>
    </w:div>
    <w:div w:id="1585995383">
      <w:bodyDiv w:val="1"/>
      <w:marLeft w:val="0"/>
      <w:marRight w:val="0"/>
      <w:marTop w:val="0"/>
      <w:marBottom w:val="0"/>
      <w:divBdr>
        <w:top w:val="none" w:sz="0" w:space="0" w:color="auto"/>
        <w:left w:val="none" w:sz="0" w:space="0" w:color="auto"/>
        <w:bottom w:val="none" w:sz="0" w:space="0" w:color="auto"/>
        <w:right w:val="none" w:sz="0" w:space="0" w:color="auto"/>
      </w:divBdr>
      <w:divsChild>
        <w:div w:id="418644641">
          <w:marLeft w:val="0"/>
          <w:marRight w:val="0"/>
          <w:marTop w:val="0"/>
          <w:marBottom w:val="0"/>
          <w:divBdr>
            <w:top w:val="none" w:sz="0" w:space="0" w:color="auto"/>
            <w:left w:val="none" w:sz="0" w:space="0" w:color="auto"/>
            <w:bottom w:val="none" w:sz="0" w:space="0" w:color="auto"/>
            <w:right w:val="none" w:sz="0" w:space="0" w:color="auto"/>
          </w:divBdr>
        </w:div>
        <w:div w:id="1849826712">
          <w:marLeft w:val="0"/>
          <w:marRight w:val="0"/>
          <w:marTop w:val="0"/>
          <w:marBottom w:val="0"/>
          <w:divBdr>
            <w:top w:val="none" w:sz="0" w:space="0" w:color="auto"/>
            <w:left w:val="none" w:sz="0" w:space="0" w:color="auto"/>
            <w:bottom w:val="none" w:sz="0" w:space="0" w:color="auto"/>
            <w:right w:val="none" w:sz="0" w:space="0" w:color="auto"/>
          </w:divBdr>
        </w:div>
      </w:divsChild>
    </w:div>
    <w:div w:id="1591233085">
      <w:bodyDiv w:val="1"/>
      <w:marLeft w:val="0"/>
      <w:marRight w:val="0"/>
      <w:marTop w:val="0"/>
      <w:marBottom w:val="0"/>
      <w:divBdr>
        <w:top w:val="none" w:sz="0" w:space="0" w:color="auto"/>
        <w:left w:val="none" w:sz="0" w:space="0" w:color="auto"/>
        <w:bottom w:val="none" w:sz="0" w:space="0" w:color="auto"/>
        <w:right w:val="none" w:sz="0" w:space="0" w:color="auto"/>
      </w:divBdr>
    </w:div>
    <w:div w:id="1606421340">
      <w:bodyDiv w:val="1"/>
      <w:marLeft w:val="0"/>
      <w:marRight w:val="0"/>
      <w:marTop w:val="0"/>
      <w:marBottom w:val="0"/>
      <w:divBdr>
        <w:top w:val="none" w:sz="0" w:space="0" w:color="auto"/>
        <w:left w:val="none" w:sz="0" w:space="0" w:color="auto"/>
        <w:bottom w:val="none" w:sz="0" w:space="0" w:color="auto"/>
        <w:right w:val="none" w:sz="0" w:space="0" w:color="auto"/>
      </w:divBdr>
    </w:div>
    <w:div w:id="1644114604">
      <w:bodyDiv w:val="1"/>
      <w:marLeft w:val="0"/>
      <w:marRight w:val="0"/>
      <w:marTop w:val="0"/>
      <w:marBottom w:val="0"/>
      <w:divBdr>
        <w:top w:val="none" w:sz="0" w:space="0" w:color="auto"/>
        <w:left w:val="none" w:sz="0" w:space="0" w:color="auto"/>
        <w:bottom w:val="none" w:sz="0" w:space="0" w:color="auto"/>
        <w:right w:val="none" w:sz="0" w:space="0" w:color="auto"/>
      </w:divBdr>
    </w:div>
    <w:div w:id="1649894203">
      <w:bodyDiv w:val="1"/>
      <w:marLeft w:val="0"/>
      <w:marRight w:val="0"/>
      <w:marTop w:val="0"/>
      <w:marBottom w:val="0"/>
      <w:divBdr>
        <w:top w:val="none" w:sz="0" w:space="0" w:color="auto"/>
        <w:left w:val="none" w:sz="0" w:space="0" w:color="auto"/>
        <w:bottom w:val="none" w:sz="0" w:space="0" w:color="auto"/>
        <w:right w:val="none" w:sz="0" w:space="0" w:color="auto"/>
      </w:divBdr>
    </w:div>
    <w:div w:id="1682512763">
      <w:bodyDiv w:val="1"/>
      <w:marLeft w:val="0"/>
      <w:marRight w:val="0"/>
      <w:marTop w:val="0"/>
      <w:marBottom w:val="0"/>
      <w:divBdr>
        <w:top w:val="none" w:sz="0" w:space="0" w:color="auto"/>
        <w:left w:val="none" w:sz="0" w:space="0" w:color="auto"/>
        <w:bottom w:val="none" w:sz="0" w:space="0" w:color="auto"/>
        <w:right w:val="none" w:sz="0" w:space="0" w:color="auto"/>
      </w:divBdr>
    </w:div>
    <w:div w:id="1714648589">
      <w:bodyDiv w:val="1"/>
      <w:marLeft w:val="0"/>
      <w:marRight w:val="0"/>
      <w:marTop w:val="0"/>
      <w:marBottom w:val="0"/>
      <w:divBdr>
        <w:top w:val="none" w:sz="0" w:space="0" w:color="auto"/>
        <w:left w:val="none" w:sz="0" w:space="0" w:color="auto"/>
        <w:bottom w:val="none" w:sz="0" w:space="0" w:color="auto"/>
        <w:right w:val="none" w:sz="0" w:space="0" w:color="auto"/>
      </w:divBdr>
    </w:div>
    <w:div w:id="1807118650">
      <w:bodyDiv w:val="1"/>
      <w:marLeft w:val="0"/>
      <w:marRight w:val="0"/>
      <w:marTop w:val="0"/>
      <w:marBottom w:val="0"/>
      <w:divBdr>
        <w:top w:val="none" w:sz="0" w:space="0" w:color="auto"/>
        <w:left w:val="none" w:sz="0" w:space="0" w:color="auto"/>
        <w:bottom w:val="none" w:sz="0" w:space="0" w:color="auto"/>
        <w:right w:val="none" w:sz="0" w:space="0" w:color="auto"/>
      </w:divBdr>
      <w:divsChild>
        <w:div w:id="1300527991">
          <w:marLeft w:val="547"/>
          <w:marRight w:val="0"/>
          <w:marTop w:val="120"/>
          <w:marBottom w:val="0"/>
          <w:divBdr>
            <w:top w:val="none" w:sz="0" w:space="0" w:color="auto"/>
            <w:left w:val="none" w:sz="0" w:space="0" w:color="auto"/>
            <w:bottom w:val="none" w:sz="0" w:space="0" w:color="auto"/>
            <w:right w:val="none" w:sz="0" w:space="0" w:color="auto"/>
          </w:divBdr>
        </w:div>
        <w:div w:id="588927083">
          <w:marLeft w:val="547"/>
          <w:marRight w:val="0"/>
          <w:marTop w:val="120"/>
          <w:marBottom w:val="0"/>
          <w:divBdr>
            <w:top w:val="none" w:sz="0" w:space="0" w:color="auto"/>
            <w:left w:val="none" w:sz="0" w:space="0" w:color="auto"/>
            <w:bottom w:val="none" w:sz="0" w:space="0" w:color="auto"/>
            <w:right w:val="none" w:sz="0" w:space="0" w:color="auto"/>
          </w:divBdr>
        </w:div>
        <w:div w:id="850799236">
          <w:marLeft w:val="547"/>
          <w:marRight w:val="0"/>
          <w:marTop w:val="120"/>
          <w:marBottom w:val="0"/>
          <w:divBdr>
            <w:top w:val="none" w:sz="0" w:space="0" w:color="auto"/>
            <w:left w:val="none" w:sz="0" w:space="0" w:color="auto"/>
            <w:bottom w:val="none" w:sz="0" w:space="0" w:color="auto"/>
            <w:right w:val="none" w:sz="0" w:space="0" w:color="auto"/>
          </w:divBdr>
        </w:div>
        <w:div w:id="547492622">
          <w:marLeft w:val="547"/>
          <w:marRight w:val="0"/>
          <w:marTop w:val="120"/>
          <w:marBottom w:val="0"/>
          <w:divBdr>
            <w:top w:val="none" w:sz="0" w:space="0" w:color="auto"/>
            <w:left w:val="none" w:sz="0" w:space="0" w:color="auto"/>
            <w:bottom w:val="none" w:sz="0" w:space="0" w:color="auto"/>
            <w:right w:val="none" w:sz="0" w:space="0" w:color="auto"/>
          </w:divBdr>
        </w:div>
        <w:div w:id="201022374">
          <w:marLeft w:val="547"/>
          <w:marRight w:val="0"/>
          <w:marTop w:val="120"/>
          <w:marBottom w:val="0"/>
          <w:divBdr>
            <w:top w:val="none" w:sz="0" w:space="0" w:color="auto"/>
            <w:left w:val="none" w:sz="0" w:space="0" w:color="auto"/>
            <w:bottom w:val="none" w:sz="0" w:space="0" w:color="auto"/>
            <w:right w:val="none" w:sz="0" w:space="0" w:color="auto"/>
          </w:divBdr>
        </w:div>
        <w:div w:id="148904997">
          <w:marLeft w:val="547"/>
          <w:marRight w:val="0"/>
          <w:marTop w:val="120"/>
          <w:marBottom w:val="0"/>
          <w:divBdr>
            <w:top w:val="none" w:sz="0" w:space="0" w:color="auto"/>
            <w:left w:val="none" w:sz="0" w:space="0" w:color="auto"/>
            <w:bottom w:val="none" w:sz="0" w:space="0" w:color="auto"/>
            <w:right w:val="none" w:sz="0" w:space="0" w:color="auto"/>
          </w:divBdr>
        </w:div>
        <w:div w:id="928855660">
          <w:marLeft w:val="547"/>
          <w:marRight w:val="0"/>
          <w:marTop w:val="120"/>
          <w:marBottom w:val="0"/>
          <w:divBdr>
            <w:top w:val="none" w:sz="0" w:space="0" w:color="auto"/>
            <w:left w:val="none" w:sz="0" w:space="0" w:color="auto"/>
            <w:bottom w:val="none" w:sz="0" w:space="0" w:color="auto"/>
            <w:right w:val="none" w:sz="0" w:space="0" w:color="auto"/>
          </w:divBdr>
        </w:div>
      </w:divsChild>
    </w:div>
    <w:div w:id="1881939592">
      <w:bodyDiv w:val="1"/>
      <w:marLeft w:val="0"/>
      <w:marRight w:val="0"/>
      <w:marTop w:val="0"/>
      <w:marBottom w:val="0"/>
      <w:divBdr>
        <w:top w:val="none" w:sz="0" w:space="0" w:color="auto"/>
        <w:left w:val="none" w:sz="0" w:space="0" w:color="auto"/>
        <w:bottom w:val="none" w:sz="0" w:space="0" w:color="auto"/>
        <w:right w:val="none" w:sz="0" w:space="0" w:color="auto"/>
      </w:divBdr>
    </w:div>
    <w:div w:id="1945532468">
      <w:bodyDiv w:val="1"/>
      <w:marLeft w:val="0"/>
      <w:marRight w:val="0"/>
      <w:marTop w:val="0"/>
      <w:marBottom w:val="0"/>
      <w:divBdr>
        <w:top w:val="none" w:sz="0" w:space="0" w:color="auto"/>
        <w:left w:val="none" w:sz="0" w:space="0" w:color="auto"/>
        <w:bottom w:val="none" w:sz="0" w:space="0" w:color="auto"/>
        <w:right w:val="none" w:sz="0" w:space="0" w:color="auto"/>
      </w:divBdr>
    </w:div>
    <w:div w:id="1971471904">
      <w:bodyDiv w:val="1"/>
      <w:marLeft w:val="0"/>
      <w:marRight w:val="0"/>
      <w:marTop w:val="0"/>
      <w:marBottom w:val="0"/>
      <w:divBdr>
        <w:top w:val="none" w:sz="0" w:space="0" w:color="auto"/>
        <w:left w:val="none" w:sz="0" w:space="0" w:color="auto"/>
        <w:bottom w:val="none" w:sz="0" w:space="0" w:color="auto"/>
        <w:right w:val="none" w:sz="0" w:space="0" w:color="auto"/>
      </w:divBdr>
    </w:div>
    <w:div w:id="2093886962">
      <w:bodyDiv w:val="1"/>
      <w:marLeft w:val="0"/>
      <w:marRight w:val="0"/>
      <w:marTop w:val="0"/>
      <w:marBottom w:val="0"/>
      <w:divBdr>
        <w:top w:val="none" w:sz="0" w:space="0" w:color="auto"/>
        <w:left w:val="none" w:sz="0" w:space="0" w:color="auto"/>
        <w:bottom w:val="none" w:sz="0" w:space="0" w:color="auto"/>
        <w:right w:val="none" w:sz="0" w:space="0" w:color="auto"/>
      </w:divBdr>
      <w:divsChild>
        <w:div w:id="1326516014">
          <w:marLeft w:val="547"/>
          <w:marRight w:val="0"/>
          <w:marTop w:val="120"/>
          <w:marBottom w:val="0"/>
          <w:divBdr>
            <w:top w:val="none" w:sz="0" w:space="0" w:color="auto"/>
            <w:left w:val="none" w:sz="0" w:space="0" w:color="auto"/>
            <w:bottom w:val="none" w:sz="0" w:space="0" w:color="auto"/>
            <w:right w:val="none" w:sz="0" w:space="0" w:color="auto"/>
          </w:divBdr>
        </w:div>
        <w:div w:id="1735853157">
          <w:marLeft w:val="547"/>
          <w:marRight w:val="0"/>
          <w:marTop w:val="120"/>
          <w:marBottom w:val="0"/>
          <w:divBdr>
            <w:top w:val="none" w:sz="0" w:space="0" w:color="auto"/>
            <w:left w:val="none" w:sz="0" w:space="0" w:color="auto"/>
            <w:bottom w:val="none" w:sz="0" w:space="0" w:color="auto"/>
            <w:right w:val="none" w:sz="0" w:space="0" w:color="auto"/>
          </w:divBdr>
        </w:div>
        <w:div w:id="581525029">
          <w:marLeft w:val="547"/>
          <w:marRight w:val="0"/>
          <w:marTop w:val="120"/>
          <w:marBottom w:val="0"/>
          <w:divBdr>
            <w:top w:val="none" w:sz="0" w:space="0" w:color="auto"/>
            <w:left w:val="none" w:sz="0" w:space="0" w:color="auto"/>
            <w:bottom w:val="none" w:sz="0" w:space="0" w:color="auto"/>
            <w:right w:val="none" w:sz="0" w:space="0" w:color="auto"/>
          </w:divBdr>
        </w:div>
        <w:div w:id="1414862015">
          <w:marLeft w:val="547"/>
          <w:marRight w:val="0"/>
          <w:marTop w:val="120"/>
          <w:marBottom w:val="0"/>
          <w:divBdr>
            <w:top w:val="none" w:sz="0" w:space="0" w:color="auto"/>
            <w:left w:val="none" w:sz="0" w:space="0" w:color="auto"/>
            <w:bottom w:val="none" w:sz="0" w:space="0" w:color="auto"/>
            <w:right w:val="none" w:sz="0" w:space="0" w:color="auto"/>
          </w:divBdr>
        </w:div>
        <w:div w:id="1628315513">
          <w:marLeft w:val="547"/>
          <w:marRight w:val="0"/>
          <w:marTop w:val="120"/>
          <w:marBottom w:val="0"/>
          <w:divBdr>
            <w:top w:val="none" w:sz="0" w:space="0" w:color="auto"/>
            <w:left w:val="none" w:sz="0" w:space="0" w:color="auto"/>
            <w:bottom w:val="none" w:sz="0" w:space="0" w:color="auto"/>
            <w:right w:val="none" w:sz="0" w:space="0" w:color="auto"/>
          </w:divBdr>
        </w:div>
        <w:div w:id="1803230880">
          <w:marLeft w:val="547"/>
          <w:marRight w:val="0"/>
          <w:marTop w:val="120"/>
          <w:marBottom w:val="0"/>
          <w:divBdr>
            <w:top w:val="none" w:sz="0" w:space="0" w:color="auto"/>
            <w:left w:val="none" w:sz="0" w:space="0" w:color="auto"/>
            <w:bottom w:val="none" w:sz="0" w:space="0" w:color="auto"/>
            <w:right w:val="none" w:sz="0" w:space="0" w:color="auto"/>
          </w:divBdr>
        </w:div>
        <w:div w:id="2094617947">
          <w:marLeft w:val="547"/>
          <w:marRight w:val="0"/>
          <w:marTop w:val="120"/>
          <w:marBottom w:val="0"/>
          <w:divBdr>
            <w:top w:val="none" w:sz="0" w:space="0" w:color="auto"/>
            <w:left w:val="none" w:sz="0" w:space="0" w:color="auto"/>
            <w:bottom w:val="none" w:sz="0" w:space="0" w:color="auto"/>
            <w:right w:val="none" w:sz="0" w:space="0" w:color="auto"/>
          </w:divBdr>
        </w:div>
        <w:div w:id="857159864">
          <w:marLeft w:val="547"/>
          <w:marRight w:val="0"/>
          <w:marTop w:val="120"/>
          <w:marBottom w:val="0"/>
          <w:divBdr>
            <w:top w:val="none" w:sz="0" w:space="0" w:color="auto"/>
            <w:left w:val="none" w:sz="0" w:space="0" w:color="auto"/>
            <w:bottom w:val="none" w:sz="0" w:space="0" w:color="auto"/>
            <w:right w:val="none" w:sz="0" w:space="0" w:color="auto"/>
          </w:divBdr>
        </w:div>
      </w:divsChild>
    </w:div>
    <w:div w:id="214657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learning.carpathianparks.org/log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2014-10-09T11:00:00+00:00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ROU</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1610</Value>
      <Value>1</Value>
      <Value>763</Value>
    </TaxCatchAll>
    <c4e2ab2cc9354bbf9064eeb465a566ea xmlns="1ed4137b-41b2-488b-8250-6d369ec27664">
      <Terms xmlns="http://schemas.microsoft.com/office/infopath/2007/PartnerControls"/>
    </c4e2ab2cc9354bbf9064eeb465a566ea>
    <UndpProjectNo xmlns="1ed4137b-41b2-488b-8250-6d369ec27664">00058266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ROU</TermName>
          <TermId xmlns="http://schemas.microsoft.com/office/infopath/2007/PartnerControls">8b7dc9fb-6aa7-43a5-9d3c-033ed4bd8856</TermId>
        </TermInfo>
      </Terms>
    </gc6531b704974d528487414686b72f6f>
    <_dlc_DocId xmlns="f1161f5b-24a3-4c2d-bc81-44cb9325e8ee">ATLASPDC-4-22439</_dlc_DocId>
    <_dlc_DocIdUrl xmlns="f1161f5b-24a3-4c2d-bc81-44cb9325e8ee">
      <Url>https://info.undp.org/docs/pdc/_layouts/DocIdRedir.aspx?ID=ATLASPDC-4-22439</Url>
      <Description>ATLASPDC-4-22439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2169E46-29BD-4EDE-91C3-6BC6B8DFE6F5}"/>
</file>

<file path=customXml/itemProps2.xml><?xml version="1.0" encoding="utf-8"?>
<ds:datastoreItem xmlns:ds="http://schemas.openxmlformats.org/officeDocument/2006/customXml" ds:itemID="{099AFD54-EC7F-4A86-9A53-D0D8C85A7D18}"/>
</file>

<file path=customXml/itemProps3.xml><?xml version="1.0" encoding="utf-8"?>
<ds:datastoreItem xmlns:ds="http://schemas.openxmlformats.org/officeDocument/2006/customXml" ds:itemID="{018C7F2B-6CB1-466F-942D-BE0AEC2E17EE}"/>
</file>

<file path=customXml/itemProps4.xml><?xml version="1.0" encoding="utf-8"?>
<ds:datastoreItem xmlns:ds="http://schemas.openxmlformats.org/officeDocument/2006/customXml" ds:itemID="{8641CF62-D31E-479F-BA89-A34E05DCCA28}"/>
</file>

<file path=customXml/itemProps5.xml><?xml version="1.0" encoding="utf-8"?>
<ds:datastoreItem xmlns:ds="http://schemas.openxmlformats.org/officeDocument/2006/customXml" ds:itemID="{32D485AE-C43A-47A7-AA2A-C6261BCAD416}"/>
</file>

<file path=customXml/itemProps6.xml><?xml version="1.0" encoding="utf-8"?>
<ds:datastoreItem xmlns:ds="http://schemas.openxmlformats.org/officeDocument/2006/customXml" ds:itemID="{5F9BA91B-EE4C-4C81-82BF-7AC0DAAA7778}"/>
</file>

<file path=docProps/app.xml><?xml version="1.0" encoding="utf-8"?>
<Properties xmlns="http://schemas.openxmlformats.org/officeDocument/2006/extended-properties" xmlns:vt="http://schemas.openxmlformats.org/officeDocument/2006/docPropsVTypes">
  <Template>Normal</Template>
  <TotalTime>1</TotalTime>
  <Pages>16</Pages>
  <Words>17957</Words>
  <Characters>102355</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Report_Carpathian</dc:title>
  <dc:subject/>
  <dc:creator/>
  <cp:lastModifiedBy>User</cp:lastModifiedBy>
  <cp:revision>2</cp:revision>
  <cp:lastPrinted>2014-08-25T09:20:00Z</cp:lastPrinted>
  <dcterms:created xsi:type="dcterms:W3CDTF">2014-10-09T11:23:00Z</dcterms:created>
  <dcterms:modified xsi:type="dcterms:W3CDTF">2014-10-09T11:23:00Z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43d76898-e5ff-48db-9bcd-dd1800ae7b7e</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1610;#ROU|8b7dc9fb-6aa7-43a5-9d3c-033ed4bd8856</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